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68F1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29E1F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88EA6C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5FEEF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61FE86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E4380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08A20" w14:textId="11922858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HANKIJA:</w:t>
      </w:r>
    </w:p>
    <w:p w14:paraId="315FB495" w14:textId="7F6677FF" w:rsidR="001370D9" w:rsidRPr="008B26AF" w:rsidRDefault="0013025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Mittetulundusühing Tartumaa Ühistranspordikeskus</w:t>
      </w:r>
    </w:p>
    <w:p w14:paraId="3F9F927E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3C7DC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725D3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D306DD" w14:textId="77777777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Riigihanke nimetus:</w:t>
      </w:r>
    </w:p>
    <w:p w14:paraId="6EBB25BF" w14:textId="13B7024A" w:rsidR="001370D9" w:rsidRPr="008B26AF" w:rsidRDefault="00BB618E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E2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Avalik bussiliinivedu Tartu maakonnas</w:t>
      </w:r>
      <w:r w:rsidRPr="00BB6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1CA40BF2" w14:textId="511FDA33" w:rsidR="00A12D6C" w:rsidRPr="008B26AF" w:rsidRDefault="0032212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kood 60112000-6 (maantee ühistransporditeenused)</w:t>
      </w:r>
    </w:p>
    <w:p w14:paraId="5C6B0A9E" w14:textId="77777777" w:rsidR="00322122" w:rsidRPr="008B26AF" w:rsidRDefault="0032212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834916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9783DE" w14:textId="3A876A99" w:rsidR="001370D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iitenumber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E2C" w:rsidRPr="00F526D0">
        <w:rPr>
          <w:rFonts w:ascii="Times New Roman" w:hAnsi="Times New Roman"/>
          <w:sz w:val="24"/>
          <w:szCs w:val="24"/>
        </w:rPr>
        <w:t>234027</w:t>
      </w:r>
    </w:p>
    <w:p w14:paraId="73AAC24C" w14:textId="1ADBC895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Juhised pakku</w:t>
      </w:r>
      <w:r w:rsidR="002E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muse koo</w:t>
      </w:r>
      <w:r w:rsidR="00B76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E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tamiseks</w:t>
      </w:r>
    </w:p>
    <w:p w14:paraId="78ECD81D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BD024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DCB570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298B04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6DFB6" w14:textId="77777777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Teenuse </w:t>
      </w:r>
      <w:r w:rsidR="00322122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ostmine</w:t>
      </w:r>
    </w:p>
    <w:p w14:paraId="628118FD" w14:textId="77777777" w:rsidR="001370D9" w:rsidRPr="008B26AF" w:rsidRDefault="00955B35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Rahvusvaheline a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vatud </w:t>
      </w:r>
      <w:r w:rsidR="00322122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hankemenetlus</w:t>
      </w:r>
    </w:p>
    <w:p w14:paraId="0DA893E1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DDCC8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BA76B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6287A4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FA7B44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57ADA1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CCFBC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A1566" w14:textId="77777777" w:rsidR="00237292" w:rsidRPr="008B26AF" w:rsidRDefault="0023729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3A314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3FE01" w14:textId="79876DD9" w:rsidR="001370D9" w:rsidRPr="008B26AF" w:rsidRDefault="00E92041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64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12D6C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2AD09AE" w14:textId="3565BEED" w:rsidR="001370D9" w:rsidRPr="008B26AF" w:rsidRDefault="001370D9" w:rsidP="00D7543B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Juhised pakkujale</w:t>
      </w:r>
      <w:r w:rsidR="0066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(edaspidi Pakkuja)</w:t>
      </w:r>
    </w:p>
    <w:p w14:paraId="33591DAC" w14:textId="73EFD89E" w:rsidR="001370D9" w:rsidRPr="008B26AF" w:rsidRDefault="00A12D6C" w:rsidP="00E731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3193" w:rsidRPr="008B26AF">
        <w:rPr>
          <w:rFonts w:ascii="Times New Roman" w:hAnsi="Times New Roman" w:cs="Times New Roman"/>
          <w:color w:val="000000"/>
          <w:sz w:val="24"/>
          <w:szCs w:val="24"/>
        </w:rPr>
        <w:t>ittetulundusühing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E2C">
        <w:rPr>
          <w:rFonts w:ascii="Times New Roman" w:hAnsi="Times New Roman" w:cs="Times New Roman"/>
          <w:color w:val="000000"/>
          <w:sz w:val="24"/>
          <w:szCs w:val="24"/>
        </w:rPr>
        <w:t>Tartumaa Ühistranspordikeskus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(edaspidi </w:t>
      </w:r>
      <w:r w:rsidR="001370D9" w:rsidRPr="008B2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Hankija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70D9" w:rsidRPr="008B2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kuulutab välja</w:t>
      </w:r>
      <w:r w:rsidR="002B46AC">
        <w:rPr>
          <w:rFonts w:ascii="Times New Roman" w:hAnsi="Times New Roman" w:cs="Times New Roman"/>
          <w:color w:val="000000"/>
          <w:sz w:val="24"/>
          <w:szCs w:val="24"/>
        </w:rPr>
        <w:t xml:space="preserve"> rahvusvahelise avatud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F60CC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iigihanke 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F1E2C">
        <w:rPr>
          <w:rFonts w:ascii="Times New Roman" w:hAnsi="Times New Roman"/>
          <w:sz w:val="24"/>
          <w:szCs w:val="24"/>
        </w:rPr>
        <w:t>Avalik bussiliinivedu Tartu maakonnas</w:t>
      </w:r>
      <w:r w:rsidR="00BB618E" w:rsidRPr="00BB618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ning teeb käesolevaga huvitatud isikutele ettepaneku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esitada pakkumusi vastavalt hanke alusdokumentides sisalduvatele tingimustele.</w:t>
      </w:r>
    </w:p>
    <w:p w14:paraId="7CD41191" w14:textId="77777777" w:rsidR="001370D9" w:rsidRPr="008B26AF" w:rsidRDefault="001370D9" w:rsidP="00FD148E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Üldandmed:</w:t>
      </w:r>
    </w:p>
    <w:p w14:paraId="26E844FE" w14:textId="586ED9A2" w:rsidR="00FF1E2C" w:rsidRDefault="001370D9" w:rsidP="00FD148E">
      <w:pPr>
        <w:autoSpaceDE w:val="0"/>
        <w:autoSpaceDN w:val="0"/>
        <w:adjustRightInd w:val="0"/>
        <w:spacing w:before="120" w:after="120" w:line="240" w:lineRule="auto"/>
        <w:ind w:left="3540" w:hanging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Hankija nimi ja andmed: 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F1E2C">
        <w:rPr>
          <w:rFonts w:ascii="Times New Roman" w:hAnsi="Times New Roman" w:cs="Times New Roman"/>
          <w:color w:val="000000"/>
          <w:sz w:val="24"/>
          <w:szCs w:val="24"/>
        </w:rPr>
        <w:t xml:space="preserve">Mittetulundusühing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Tartumaa Ühistranspordikeskus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EB2EFD1" w14:textId="21C657B7" w:rsidR="001370D9" w:rsidRPr="008B26AF" w:rsidRDefault="001370D9" w:rsidP="00FF1E2C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registrikood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80426233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808B1">
        <w:rPr>
          <w:rFonts w:ascii="Times New Roman" w:hAnsi="Times New Roman" w:cs="Times New Roman"/>
          <w:color w:val="000000"/>
          <w:sz w:val="24"/>
          <w:szCs w:val="24"/>
        </w:rPr>
        <w:t>Pepleri</w:t>
      </w:r>
      <w:proofErr w:type="spellEnd"/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6, 51003 Tartu,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e-post: </w:t>
      </w:r>
      <w:hyperlink r:id="rId8" w:history="1">
        <w:r w:rsidR="00E808B1" w:rsidRPr="00550185">
          <w:rPr>
            <w:rStyle w:val="Hperlink"/>
            <w:rFonts w:ascii="Times New Roman" w:hAnsi="Times New Roman" w:cs="Times New Roman"/>
            <w:sz w:val="24"/>
            <w:szCs w:val="24"/>
          </w:rPr>
          <w:t>transport@tartumaa.ee</w:t>
        </w:r>
      </w:hyperlink>
      <w:r w:rsidRPr="008B26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telefon +372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56876944</w:t>
      </w:r>
    </w:p>
    <w:p w14:paraId="61A726C6" w14:textId="4FEA9107" w:rsidR="001370D9" w:rsidRPr="003A7C3C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Riigihanke nimetus: 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B618E" w:rsidRPr="003A7C3C">
        <w:rPr>
          <w:rFonts w:ascii="Times New Roman" w:hAnsi="Times New Roman" w:cs="Times New Roman"/>
          <w:color w:val="000000"/>
        </w:rPr>
        <w:t>„</w:t>
      </w:r>
      <w:r w:rsidR="00E808B1">
        <w:rPr>
          <w:rFonts w:ascii="Times New Roman" w:hAnsi="Times New Roman"/>
          <w:sz w:val="24"/>
          <w:szCs w:val="24"/>
        </w:rPr>
        <w:t>Avalik bussiliinivedu Tartu maakonnas</w:t>
      </w:r>
      <w:r w:rsidRPr="003A7C3C">
        <w:rPr>
          <w:rFonts w:ascii="Times New Roman" w:hAnsi="Times New Roman" w:cs="Times New Roman"/>
          <w:color w:val="000000"/>
        </w:rPr>
        <w:t>“</w:t>
      </w:r>
    </w:p>
    <w:p w14:paraId="648771E3" w14:textId="109EC14F" w:rsidR="00114C37" w:rsidRPr="00E808B1" w:rsidRDefault="001370D9" w:rsidP="00E808B1">
      <w:p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ind w:left="3510" w:hanging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Hankemenetluse eest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vastutav isik: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 w:rsidRPr="00E808B1">
        <w:rPr>
          <w:rFonts w:ascii="Times New Roman" w:hAnsi="Times New Roman" w:cs="Times New Roman"/>
          <w:color w:val="000000"/>
          <w:sz w:val="24"/>
          <w:szCs w:val="24"/>
        </w:rPr>
        <w:t xml:space="preserve">Maikl Aunapuu, e-post: </w:t>
      </w:r>
      <w:hyperlink r:id="rId9" w:history="1">
        <w:r w:rsidR="00E808B1" w:rsidRPr="00E808B1">
          <w:rPr>
            <w:rStyle w:val="Hperlink"/>
            <w:rFonts w:ascii="Times New Roman" w:hAnsi="Times New Roman" w:cs="Times New Roman"/>
            <w:sz w:val="24"/>
            <w:szCs w:val="24"/>
          </w:rPr>
          <w:t>maikl.aunapuu@tartumaa.ee</w:t>
        </w:r>
      </w:hyperlink>
      <w:r w:rsidR="00E808B1" w:rsidRPr="00E808B1">
        <w:rPr>
          <w:rFonts w:ascii="Times New Roman" w:hAnsi="Times New Roman" w:cs="Times New Roman"/>
          <w:color w:val="000000"/>
          <w:sz w:val="24"/>
          <w:szCs w:val="24"/>
        </w:rPr>
        <w:t>, tel+372 56876944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D1D47D" w14:textId="3AFF1C8F" w:rsidR="00E15DCA" w:rsidRPr="003D156B" w:rsidRDefault="001370D9" w:rsidP="00E808B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Hanke eeldatav </w:t>
      </w:r>
      <w:r w:rsidR="000D52EC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maksumus</w:t>
      </w:r>
      <w:r w:rsidR="00E46FFA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 w:rsidR="007C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592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7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.00 €</w:t>
      </w:r>
    </w:p>
    <w:p w14:paraId="7B78B7F5" w14:textId="265B6ED0" w:rsidR="005414E1" w:rsidRPr="008B26AF" w:rsidRDefault="001370D9" w:rsidP="000874D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Hankelepingu täitmise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Leping jõustub allkirjastamisest. </w:t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t>Veoteenuse osutamise</w:t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4DD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tähtaeg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t xml:space="preserve">periood on </w:t>
      </w:r>
      <w:r w:rsidR="00787221">
        <w:rPr>
          <w:rFonts w:ascii="Times New Roman" w:hAnsi="Times New Roman" w:cs="Times New Roman"/>
          <w:color w:val="000000"/>
          <w:sz w:val="24"/>
          <w:szCs w:val="24"/>
        </w:rPr>
        <w:t>eelduslikult 01.0</w:t>
      </w:r>
      <w:r w:rsidR="00F64F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92041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F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7221">
        <w:rPr>
          <w:rFonts w:ascii="Times New Roman" w:hAnsi="Times New Roman" w:cs="Times New Roman"/>
          <w:color w:val="000000"/>
          <w:sz w:val="24"/>
          <w:szCs w:val="24"/>
        </w:rPr>
        <w:t xml:space="preserve"> kuni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31.03.2028</w:t>
      </w:r>
      <w:r w:rsidR="00825F06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627DD" w14:textId="436EB85E" w:rsidR="001370D9" w:rsidRPr="00F64F09" w:rsidRDefault="00F64F0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Peamine t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eenuse teostamise koht: 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Tartu maakond</w:t>
      </w:r>
      <w:r w:rsidRPr="00F64F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4E1" w:rsidRPr="00F64F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A43ED8" w14:textId="0276883B" w:rsidR="001370D9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Pakkumuse jõusoleku aeg: 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päeva pakkumuste esitamise täht</w:t>
      </w:r>
      <w:r w:rsidR="00B33629" w:rsidRPr="008B26AF">
        <w:rPr>
          <w:rFonts w:ascii="Times New Roman" w:hAnsi="Times New Roman" w:cs="Times New Roman"/>
          <w:color w:val="000000"/>
          <w:sz w:val="24"/>
          <w:szCs w:val="24"/>
        </w:rPr>
        <w:t>päevas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 arvates</w:t>
      </w:r>
    </w:p>
    <w:p w14:paraId="390BE472" w14:textId="77777777" w:rsidR="001370D9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Riigihanke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alusdokumendid: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1) Hanketeade (edaspidi HT)</w:t>
      </w:r>
      <w:r w:rsidR="00955B35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– RHR e-keskkonna vorm</w:t>
      </w:r>
    </w:p>
    <w:p w14:paraId="1847CC8C" w14:textId="4DB8148F" w:rsidR="00955B35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65281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955B35" w:rsidRPr="008B26AF">
        <w:rPr>
          <w:rFonts w:ascii="Times New Roman" w:hAnsi="Times New Roman" w:cs="Times New Roman"/>
          <w:color w:val="000000"/>
          <w:sz w:val="24"/>
          <w:szCs w:val="24"/>
        </w:rPr>
        <w:t>ankepass – RHR e-keskkonna vorm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7ED640" w14:textId="72F546EE" w:rsidR="001370D9" w:rsidRPr="008B26AF" w:rsidRDefault="006D1C93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Nõuded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akkujale – Kvalifitseerimistingimused</w:t>
      </w:r>
      <w:r w:rsidR="00222A0B" w:rsidRPr="00222A0B">
        <w:t xml:space="preserve"> </w:t>
      </w:r>
      <w:r w:rsidR="00222A0B">
        <w:t xml:space="preserve">- </w:t>
      </w:r>
      <w:r w:rsidR="00222A0B" w:rsidRPr="00222A0B">
        <w:rPr>
          <w:rFonts w:ascii="Times New Roman" w:hAnsi="Times New Roman" w:cs="Times New Roman"/>
          <w:color w:val="000000"/>
          <w:sz w:val="24"/>
          <w:szCs w:val="24"/>
        </w:rPr>
        <w:t>RHR e-keskkonna vorm</w:t>
      </w:r>
    </w:p>
    <w:p w14:paraId="3DEE225A" w14:textId="4D03627D" w:rsidR="001370D9" w:rsidRPr="008B26AF" w:rsidRDefault="006D1C93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 Nõuded pakkumusele – Vastavustingimused</w:t>
      </w:r>
      <w:r w:rsidR="00222A0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22A0B" w:rsidRPr="00222A0B">
        <w:rPr>
          <w:rFonts w:ascii="Times New Roman" w:hAnsi="Times New Roman" w:cs="Times New Roman"/>
          <w:color w:val="000000"/>
          <w:sz w:val="24"/>
          <w:szCs w:val="24"/>
        </w:rPr>
        <w:t>RHR e-keskkonna vorm</w:t>
      </w:r>
    </w:p>
    <w:p w14:paraId="73A8AD03" w14:textId="15E63D43" w:rsidR="001370D9" w:rsidRDefault="006D1C93" w:rsidP="00FD148E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 Pakkumuse maksumuse vorm</w:t>
      </w:r>
      <w:r w:rsidR="0021086B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– RHR e-keskkonna vorm</w:t>
      </w:r>
    </w:p>
    <w:p w14:paraId="3CC903BD" w14:textId="4F6F48E5" w:rsidR="00222A0B" w:rsidRPr="008B26AF" w:rsidRDefault="00222A0B" w:rsidP="00FD148E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AD </w:t>
      </w:r>
      <w:r>
        <w:rPr>
          <w:rFonts w:ascii="Times New Roman" w:hAnsi="Times New Roman" w:cs="Times New Roman"/>
          <w:color w:val="000000"/>
          <w:sz w:val="24"/>
          <w:szCs w:val="24"/>
        </w:rPr>
        <w:t>Juhised pakkumuse koostamiseks</w:t>
      </w:r>
    </w:p>
    <w:p w14:paraId="53E5DCA7" w14:textId="0DE5E0FF" w:rsidR="001370D9" w:rsidRDefault="00222A0B" w:rsidP="00FD148E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2DEC">
        <w:rPr>
          <w:rFonts w:ascii="Times New Roman" w:hAnsi="Times New Roman" w:cs="Times New Roman"/>
          <w:color w:val="000000"/>
          <w:sz w:val="24"/>
          <w:szCs w:val="24"/>
        </w:rPr>
        <w:t xml:space="preserve">AD Lisa 1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Tehniline kirjeldus</w:t>
      </w:r>
    </w:p>
    <w:p w14:paraId="707E7FE0" w14:textId="3FFCB2B4" w:rsidR="00E808B1" w:rsidRDefault="00F64F09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AD Lisa 1 Tehniline kirjeldus: Lisa 1 Nõuded bussidele</w:t>
      </w:r>
    </w:p>
    <w:p w14:paraId="53456134" w14:textId="705D5A79" w:rsidR="00E808B1" w:rsidRDefault="00E808B1" w:rsidP="00E808B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9) AD Lisa 1 Tehniline kirjeldus: Lisa 2 Sõiduplaanid</w:t>
      </w:r>
    </w:p>
    <w:p w14:paraId="4864C4A6" w14:textId="0ED27E9A" w:rsidR="00E808B1" w:rsidRDefault="00E808B1" w:rsidP="00E808B1">
      <w:pPr>
        <w:autoSpaceDE w:val="0"/>
        <w:autoSpaceDN w:val="0"/>
        <w:adjustRightInd w:val="0"/>
        <w:spacing w:before="120" w:after="120" w:line="240" w:lineRule="auto"/>
        <w:ind w:left="3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AD Lisa 1 Tehniline kirjeldus: Lisa 3 Maksimaalsed täituvused</w:t>
      </w:r>
    </w:p>
    <w:p w14:paraId="344EDC9E" w14:textId="3653FE5B" w:rsidR="001370D9" w:rsidRDefault="000C273F" w:rsidP="00E808B1">
      <w:pPr>
        <w:autoSpaceDE w:val="0"/>
        <w:autoSpaceDN w:val="0"/>
        <w:adjustRightInd w:val="0"/>
        <w:spacing w:before="120" w:after="120" w:line="240" w:lineRule="auto"/>
        <w:ind w:left="3534" w:firstLine="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5E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0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7894327"/>
      <w:r w:rsidR="00962DEC">
        <w:rPr>
          <w:rFonts w:ascii="Times New Roman" w:hAnsi="Times New Roman" w:cs="Times New Roman"/>
          <w:color w:val="000000"/>
          <w:sz w:val="24"/>
          <w:szCs w:val="24"/>
        </w:rPr>
        <w:t xml:space="preserve">AD Lisa 2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 xml:space="preserve">ATL -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Lepingutingimused</w:t>
      </w:r>
      <w:bookmarkEnd w:id="0"/>
      <w:r w:rsidR="00AB336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(ATL projekt</w:t>
      </w:r>
      <w:r w:rsidR="001C4892">
        <w:rPr>
          <w:rFonts w:ascii="Times New Roman" w:hAnsi="Times New Roman" w:cs="Times New Roman"/>
          <w:color w:val="000000"/>
          <w:sz w:val="24"/>
          <w:szCs w:val="24"/>
        </w:rPr>
        <w:t xml:space="preserve"> koos lisadega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nr 1, 2, 3, 4, 5, 7, 8</w:t>
      </w:r>
      <w:r w:rsidR="00AB3368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26D18" w14:textId="688EE532" w:rsidR="001370D9" w:rsidRPr="008B26AF" w:rsidRDefault="003D156B" w:rsidP="00DB1FD5">
      <w:pPr>
        <w:autoSpaceDE w:val="0"/>
        <w:autoSpaceDN w:val="0"/>
        <w:adjustRightInd w:val="0"/>
        <w:spacing w:before="120" w:after="120" w:line="240" w:lineRule="auto"/>
        <w:ind w:left="3534" w:firstLine="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5E8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086B" w:rsidRPr="008B26AF">
        <w:rPr>
          <w:rFonts w:ascii="Times New Roman" w:hAnsi="Times New Roman" w:cs="Times New Roman"/>
          <w:color w:val="000000"/>
          <w:sz w:val="24"/>
          <w:szCs w:val="24"/>
        </w:rPr>
        <w:t>Pakkumusv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ormid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: AD Vorm 1: Pakkumuse maksumuse arvestus; AD Vorm 2: Bussijuhtide tööaja</w:t>
      </w:r>
      <w:r w:rsidR="00DB1FD5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palga </w:t>
      </w:r>
      <w:r w:rsidR="00DB1FD5">
        <w:rPr>
          <w:rFonts w:ascii="Times New Roman" w:hAnsi="Times New Roman" w:cs="Times New Roman"/>
          <w:color w:val="000000"/>
          <w:sz w:val="24"/>
          <w:szCs w:val="24"/>
        </w:rPr>
        <w:t>arvestus; AD Vorm 3: Riigihanke teostamiseks pakkuja poolt kasutatavate busside loetelu.</w:t>
      </w:r>
    </w:p>
    <w:p w14:paraId="50D00770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lastRenderedPageBreak/>
        <w:t>Hankelepingu ese</w:t>
      </w:r>
    </w:p>
    <w:p w14:paraId="57BA25BC" w14:textId="3AF1F4C1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Hankelepingu esemeks on Euroopa Parlamendi ja nõukogu määruse (EÜ) nr 1370/2007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tähenduses sõitjate vedu avaliku teenindamise lepingu (</w:t>
      </w:r>
      <w:r w:rsidR="00D104FD">
        <w:rPr>
          <w:rFonts w:ascii="Times New Roman" w:hAnsi="Times New Roman" w:cs="Times New Roman"/>
          <w:color w:val="000000"/>
          <w:sz w:val="24"/>
          <w:szCs w:val="24"/>
        </w:rPr>
        <w:t xml:space="preserve">edaspidi Leping või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ATL) alusel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Tartu maakonna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avalikel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530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bussiliinidel </w:t>
      </w:r>
      <w:r w:rsidR="00510DE5">
        <w:rPr>
          <w:rFonts w:ascii="Times New Roman" w:hAnsi="Times New Roman" w:cs="Times New Roman"/>
          <w:color w:val="000000"/>
          <w:sz w:val="24"/>
          <w:szCs w:val="24"/>
        </w:rPr>
        <w:t>eeldatavalt perioodil 01.0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32F18" w:rsidRPr="008B26A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219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219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31.03.2028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, sh sõidupiletite müügi ja muude avaliku teenindamise kohustusega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kaasnevate teenuste ning nende üle järelevalve teostamise korraldus hanke alusdokumentides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4FD">
        <w:rPr>
          <w:rFonts w:ascii="Times New Roman" w:hAnsi="Times New Roman" w:cs="Times New Roman"/>
          <w:color w:val="000000"/>
          <w:sz w:val="24"/>
          <w:szCs w:val="24"/>
        </w:rPr>
        <w:t xml:space="preserve">(edaspidi AD)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ja selle lisades ettenähtud tingimustel.</w:t>
      </w:r>
    </w:p>
    <w:p w14:paraId="1B46732B" w14:textId="58F61317" w:rsidR="00AB3368" w:rsidRPr="008B26AF" w:rsidRDefault="00AB3368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Hange 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ei ole jaotatud osadeks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 xml:space="preserve"> kuna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Tartumaa ühistranspordikeskuse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 xml:space="preserve"> poolt korraldatav liinivõrk on käsitletav tervikuna.</w:t>
      </w:r>
    </w:p>
    <w:p w14:paraId="78BCF23D" w14:textId="04D0D157" w:rsidR="001370D9" w:rsidRPr="008B26AF" w:rsidRDefault="00B8442E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Hanke t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ehniline kirjeldus on toodud </w:t>
      </w:r>
      <w:bookmarkStart w:id="1" w:name="_Hlk57894252"/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alusdokumentides</w:t>
      </w:r>
      <w:bookmarkEnd w:id="1"/>
      <w:r w:rsidR="00100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Lisa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Tehniline kirjeldus</w:t>
      </w:r>
      <w:r>
        <w:rPr>
          <w:rFonts w:ascii="Times New Roman" w:hAnsi="Times New Roman" w:cs="Times New Roman"/>
          <w:color w:val="000000"/>
          <w:sz w:val="24"/>
          <w:szCs w:val="24"/>
        </w:rPr>
        <w:t>, millel on 3 lisadokumenti. AD Lisa 1 Tehniline kirjeldus: Lisa 1 Nõuded bussidele, AD Lisa 1 Tehniline kirjeldus: Lisa 2 Sõiduplaanid ja AD Lisa 1 Tehniline kirjeldus: Lisa 3 Maksimaalsed täituvused.</w:t>
      </w:r>
    </w:p>
    <w:p w14:paraId="03A60227" w14:textId="7CB020BC" w:rsidR="001370D9" w:rsidRDefault="00E01B4D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Tulevase hankelepingu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tingimused on sätestatud</w:t>
      </w:r>
      <w:r w:rsidR="00501AB5" w:rsidRPr="00501AB5">
        <w:t xml:space="preserve"> 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>alusdokumentides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 xml:space="preserve">ATL 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epingu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, mis sisaldab avaliku teenindamise lepingu projekti koos lisadega nr 1, 2, 3, 4, 5, 7 ja 8.</w:t>
      </w:r>
    </w:p>
    <w:p w14:paraId="0BE4D246" w14:textId="77777777" w:rsidR="00B8442E" w:rsidRPr="008B26AF" w:rsidRDefault="00B8442E" w:rsidP="00B8442E">
      <w:pPr>
        <w:pStyle w:val="Loendilik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D4C8A" w14:textId="77777777" w:rsidR="008168BF" w:rsidRPr="008B26AF" w:rsidRDefault="008168B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Pakkumuse tagatis ja garantiid</w:t>
      </w:r>
    </w:p>
    <w:p w14:paraId="5E0AFFF1" w14:textId="39B67055" w:rsidR="00E15DCA" w:rsidRPr="000C273F" w:rsidRDefault="008168BF" w:rsidP="00D7543B">
      <w:pPr>
        <w:pStyle w:val="Loendilik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Pakkumuse tagatis</w:t>
      </w:r>
      <w:r w:rsidR="000C273F">
        <w:rPr>
          <w:rFonts w:ascii="Times New Roman" w:hAnsi="Times New Roman" w:cs="Times New Roman"/>
          <w:sz w:val="24"/>
          <w:szCs w:val="24"/>
        </w:rPr>
        <w:t xml:space="preserve"> on </w:t>
      </w:r>
      <w:r w:rsidR="00FA3E37">
        <w:rPr>
          <w:rFonts w:ascii="Times New Roman" w:hAnsi="Times New Roman" w:cs="Times New Roman"/>
          <w:sz w:val="24"/>
          <w:szCs w:val="24"/>
        </w:rPr>
        <w:t>190 000</w:t>
      </w:r>
      <w:r w:rsidR="000C273F">
        <w:rPr>
          <w:rFonts w:ascii="Times New Roman" w:hAnsi="Times New Roman" w:cs="Times New Roman"/>
          <w:sz w:val="24"/>
          <w:szCs w:val="24"/>
        </w:rPr>
        <w:t xml:space="preserve"> (sada üheksakümmend tuhat) eurot.</w:t>
      </w:r>
    </w:p>
    <w:p w14:paraId="77BCF359" w14:textId="324FE6F8" w:rsidR="008168BF" w:rsidRPr="008B26AF" w:rsidRDefault="008168BF" w:rsidP="001F6CD7">
      <w:pPr>
        <w:pStyle w:val="Loendilik"/>
        <w:numPr>
          <w:ilvl w:val="1"/>
          <w:numId w:val="1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Pakkuja esitab pakkumuse tagatise krediidi- või finantseerimisasutuse või kindlustusandja garantiina või rahasumma deponeerimisega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arvelduskontole </w:t>
      </w:r>
      <w:hyperlink r:id="rId10" w:history="1">
        <w:r w:rsidR="001F6CD7" w:rsidRPr="001F6CD7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</w:rPr>
          <w:t>EE961010220267103222</w:t>
        </w:r>
      </w:hyperlink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. Garantiikirja kohaselt on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õigustatud saama Garantiikirja alusel maksimaalselt punktis 3.1 nimetatud rahasumma väljamakse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esimesel nõudmisel hiljemalt 10 pangapäeva jooksul. Garantiikiri ei tohi sisaldada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>ankija õiguseid kitsendavaid lisatingimusi.</w:t>
      </w:r>
    </w:p>
    <w:p w14:paraId="557D9233" w14:textId="604710E5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Riigihanke alusdokumentide </w:t>
      </w:r>
      <w:r w:rsidR="00C931B4"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saamine, </w:t>
      </w:r>
      <w:r w:rsidRPr="008B26AF">
        <w:rPr>
          <w:rFonts w:ascii="Times New Roman" w:hAnsi="Times New Roman" w:cs="Times New Roman"/>
          <w:color w:val="auto"/>
          <w:sz w:val="24"/>
          <w:szCs w:val="24"/>
        </w:rPr>
        <w:t>hankemenetluses osalemine</w:t>
      </w:r>
    </w:p>
    <w:p w14:paraId="4D5E8F42" w14:textId="6E4692F5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Hankemenetluses osalemiseks peab huvitatud isik registreeruma e-riigihangete keskkonnas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hankes osalejana. Kõikidel huvitatud isikutel on võimalik riigihanke alusdokumente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1B4" w:rsidRPr="008B26AF">
        <w:rPr>
          <w:rFonts w:ascii="Times New Roman" w:hAnsi="Times New Roman" w:cs="Times New Roman"/>
          <w:color w:val="000000"/>
          <w:sz w:val="24"/>
          <w:szCs w:val="24"/>
        </w:rPr>
        <w:t>saada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e-riigihangete keskkonnast digitaalsel kujul. Hankija ei vastuta e-riigihangete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keskkonna ja sidevahendite tehnilise toimimise eest.</w:t>
      </w:r>
    </w:p>
    <w:p w14:paraId="3FAAC3EC" w14:textId="77777777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Pakkumuse esitamine tähendab pakkumuse esitanud isiku täielikku nõustumist kõigi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riigihanke alusdokumentides esitatud tingimustega ja kohustust neid järgida hankelepingu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elluviimisel. Alternatiivpakkumuste või osaliste pakkumuste esitamine ükskõik millise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alusdokumentides kirjeldatud tööde kohta, samuti pakkumuse variantide esitamine ei ole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lubatud.</w:t>
      </w:r>
    </w:p>
    <w:p w14:paraId="0525C7A4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Nõuded pakkumuse vormistamisele ja esitamisele</w:t>
      </w:r>
    </w:p>
    <w:p w14:paraId="1568841F" w14:textId="1DB570E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tuleb esitada elektrooniliselt e-riigihangete keskkonna kaudu hiljemalt HT osa </w:t>
      </w:r>
      <w:r w:rsidRPr="00F526D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81484" w:rsidRPr="00F52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D0">
        <w:rPr>
          <w:rFonts w:ascii="Times New Roman" w:hAnsi="Times New Roman" w:cs="Times New Roman"/>
          <w:color w:val="000000"/>
          <w:sz w:val="24"/>
          <w:szCs w:val="24"/>
        </w:rPr>
        <w:t>punktis IV.2.2</w:t>
      </w:r>
      <w:r w:rsidR="00D95461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F02">
        <w:rPr>
          <w:rFonts w:ascii="Times New Roman" w:hAnsi="Times New Roman" w:cs="Times New Roman"/>
          <w:color w:val="000000"/>
          <w:sz w:val="24"/>
          <w:szCs w:val="24"/>
        </w:rPr>
        <w:t xml:space="preserve">määratud </w:t>
      </w:r>
      <w:r w:rsidRPr="00501AB5">
        <w:rPr>
          <w:rFonts w:ascii="Times New Roman" w:hAnsi="Times New Roman" w:cs="Times New Roman"/>
          <w:color w:val="000000"/>
          <w:sz w:val="24"/>
          <w:szCs w:val="24"/>
        </w:rPr>
        <w:t>täht</w:t>
      </w:r>
      <w:r w:rsidR="00B33B72" w:rsidRPr="00501AB5">
        <w:rPr>
          <w:rFonts w:ascii="Times New Roman" w:hAnsi="Times New Roman" w:cs="Times New Roman"/>
          <w:color w:val="000000"/>
          <w:sz w:val="24"/>
          <w:szCs w:val="24"/>
        </w:rPr>
        <w:t>päevaks</w:t>
      </w:r>
      <w:r w:rsidRPr="00E34F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A14CCF" w14:textId="0BAAB8E9" w:rsidR="00B04E8F" w:rsidRPr="008B26AF" w:rsidRDefault="00B33B72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Dokumendi 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punktis </w:t>
      </w:r>
      <w:r w:rsidRPr="008B26AF">
        <w:rPr>
          <w:rFonts w:ascii="Times New Roman" w:hAnsi="Times New Roman" w:cs="Times New Roman"/>
          <w:sz w:val="24"/>
          <w:szCs w:val="24"/>
        </w:rPr>
        <w:t xml:space="preserve">5 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sätestatud nõudeid ja tingimusi rakendatakse nii pakkumuse dokumentide, individuaalset seisundit iseloomustavate dokumentide kui ka </w:t>
      </w:r>
      <w:r w:rsidR="00B04E8F" w:rsidRPr="008B26AF">
        <w:rPr>
          <w:rFonts w:ascii="Times New Roman" w:hAnsi="Times New Roman" w:cs="Times New Roman"/>
          <w:sz w:val="24"/>
          <w:szCs w:val="24"/>
        </w:rPr>
        <w:lastRenderedPageBreak/>
        <w:t>kvalifitseerimisdokumentide suhtes, seda ka siis, kui viidatud on n</w:t>
      </w:r>
      <w:r w:rsidR="00771751">
        <w:rPr>
          <w:rFonts w:ascii="Times New Roman" w:hAnsi="Times New Roman" w:cs="Times New Roman"/>
          <w:sz w:val="24"/>
          <w:szCs w:val="24"/>
        </w:rPr>
        <w:t>äi</w:t>
      </w:r>
      <w:r w:rsidR="00B04E8F" w:rsidRPr="008B26AF">
        <w:rPr>
          <w:rFonts w:ascii="Times New Roman" w:hAnsi="Times New Roman" w:cs="Times New Roman"/>
          <w:sz w:val="24"/>
          <w:szCs w:val="24"/>
        </w:rPr>
        <w:t>t</w:t>
      </w:r>
      <w:r w:rsidR="00771751">
        <w:rPr>
          <w:rFonts w:ascii="Times New Roman" w:hAnsi="Times New Roman" w:cs="Times New Roman"/>
          <w:sz w:val="24"/>
          <w:szCs w:val="24"/>
        </w:rPr>
        <w:t>eks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 ainult pakkumuse dokumentidele, v.a. kui </w:t>
      </w:r>
      <w:proofErr w:type="spellStart"/>
      <w:r w:rsidR="00804656">
        <w:rPr>
          <w:rFonts w:ascii="Times New Roman" w:hAnsi="Times New Roman" w:cs="Times New Roman"/>
          <w:sz w:val="24"/>
          <w:szCs w:val="24"/>
        </w:rPr>
        <w:t>AD</w:t>
      </w:r>
      <w:r w:rsidR="00B04E8F" w:rsidRPr="008B26AF">
        <w:rPr>
          <w:rFonts w:ascii="Times New Roman" w:hAnsi="Times New Roman" w:cs="Times New Roman"/>
          <w:sz w:val="24"/>
          <w:szCs w:val="24"/>
        </w:rPr>
        <w:t>-st</w:t>
      </w:r>
      <w:proofErr w:type="spellEnd"/>
      <w:r w:rsidR="00B04E8F" w:rsidRPr="008B26AF">
        <w:rPr>
          <w:rFonts w:ascii="Times New Roman" w:hAnsi="Times New Roman" w:cs="Times New Roman"/>
          <w:sz w:val="24"/>
          <w:szCs w:val="24"/>
        </w:rPr>
        <w:t xml:space="preserve"> ei tulene teisiti.</w:t>
      </w:r>
    </w:p>
    <w:p w14:paraId="6179C898" w14:textId="297AE651" w:rsidR="00C62F70" w:rsidRPr="008B26AF" w:rsidRDefault="00C62F70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Pakkuja peab esitama pakkumuses kirjaliku kinnituse kõigi hanketeates ja hanke alusdokumentides eitatud tingimuste ülevõtmise kohta. </w:t>
      </w:r>
      <w:r w:rsidRPr="008B26AF">
        <w:rPr>
          <w:rFonts w:ascii="Times New Roman" w:hAnsi="Times New Roman" w:cs="Times New Roman"/>
          <w:sz w:val="24"/>
          <w:szCs w:val="24"/>
        </w:rPr>
        <w:t xml:space="preserve">Pakkumus ei või olla mistahes viisil eksitav,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akkujal ei ole õigust esitada pakkumuses lisatingimusi või tingimuslikku pakkumust. Pakkumus esitatakse üksnes asjaolude kohta, mille kohta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soovib võistlevaid pakkumusi.</w:t>
      </w:r>
    </w:p>
    <w:p w14:paraId="176AC029" w14:textId="42F05711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aktsepteeri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pakkumusi, mis on esitatud e</w:t>
      </w:r>
      <w:r w:rsidR="006F6239" w:rsidRPr="008B26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riigihangete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keskkonna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kaudu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5AB3A4" w14:textId="1508D00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kannab kõik pakkumuse ettevalmistamisega ning esitamisega seotud kulud ja riski,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kaasa arvatud vääramatu jõu toime võimalusel.</w:t>
      </w:r>
    </w:p>
    <w:p w14:paraId="33AA971C" w14:textId="6AE272B0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tuleb esitada allkirjastatuna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seadusliku esindaja (juhatuse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liikme) või selleks volitust omava isiku poolt (vajadusel esitada volikiri) elektrooniliselt 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e-riigihangete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keskkonnas aadressil </w:t>
      </w:r>
      <w:r w:rsidRPr="008B26AF">
        <w:rPr>
          <w:rFonts w:ascii="Times New Roman" w:hAnsi="Times New Roman" w:cs="Times New Roman"/>
          <w:color w:val="0066CD"/>
          <w:sz w:val="24"/>
          <w:szCs w:val="24"/>
        </w:rPr>
        <w:t xml:space="preserve">https://riigihanked.riik.ee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selleks ette antud struktuuri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kohaselt hiljemalt HT-s toodud tähtajaks.</w:t>
      </w:r>
    </w:p>
    <w:p w14:paraId="3273E2D1" w14:textId="3A546B09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Pakkuja peab esitama pakkumuse ja kõik sellega seotud dokumendid</w:t>
      </w:r>
      <w:r w:rsidR="00254C2F" w:rsidRPr="008B26AF">
        <w:rPr>
          <w:rFonts w:ascii="Times New Roman" w:hAnsi="Times New Roman" w:cs="Times New Roman"/>
          <w:sz w:val="24"/>
          <w:szCs w:val="24"/>
        </w:rPr>
        <w:t xml:space="preserve"> (sh hankepass)</w:t>
      </w:r>
      <w:r w:rsidRPr="008B26AF">
        <w:rPr>
          <w:rFonts w:ascii="Times New Roman" w:hAnsi="Times New Roman" w:cs="Times New Roman"/>
          <w:sz w:val="24"/>
          <w:szCs w:val="24"/>
        </w:rPr>
        <w:t xml:space="preserve"> eesti keeles</w:t>
      </w:r>
      <w:r w:rsidR="00725F5E" w:rsidRPr="008B26AF">
        <w:rPr>
          <w:rFonts w:ascii="Times New Roman" w:hAnsi="Times New Roman" w:cs="Times New Roman"/>
          <w:sz w:val="24"/>
          <w:szCs w:val="24"/>
        </w:rPr>
        <w:t>.</w:t>
      </w:r>
    </w:p>
    <w:p w14:paraId="22D13702" w14:textId="28B2112A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Hankija aktsepteerib esitatavate pakkumuste dokumentide osas </w:t>
      </w:r>
      <w:r w:rsidR="00D87EA6">
        <w:rPr>
          <w:rFonts w:ascii="Times New Roman" w:hAnsi="Times New Roman" w:cs="Times New Roman"/>
          <w:color w:val="000000"/>
          <w:sz w:val="24"/>
          <w:szCs w:val="24"/>
        </w:rPr>
        <w:t xml:space="preserve">üldlevinud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dokumentide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formaate</w:t>
      </w:r>
      <w:r w:rsidR="00D87EA6">
        <w:rPr>
          <w:rFonts w:ascii="Times New Roman" w:hAnsi="Times New Roman" w:cs="Times New Roman"/>
          <w:color w:val="000000"/>
          <w:sz w:val="24"/>
          <w:szCs w:val="24"/>
        </w:rPr>
        <w:t xml:space="preserve"> nagu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Portable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Format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>), .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txt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F5E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26AF">
        <w:rPr>
          <w:rFonts w:ascii="Times New Roman" w:hAnsi="Times New Roman" w:cs="Times New Roman"/>
          <w:color w:val="000000"/>
          <w:sz w:val="24"/>
          <w:szCs w:val="24"/>
        </w:rPr>
        <w:t>RichTextFormat</w:t>
      </w:r>
      <w:proofErr w:type="spellEnd"/>
      <w:r w:rsidRPr="008B26A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873C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Käesoleva juhiste punktis 1</w:t>
      </w:r>
      <w:r w:rsidR="007717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73C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nimetatud vormid esitatakse MS Excel formaadis või sellega ühilduvas formaadis. </w:t>
      </w:r>
    </w:p>
    <w:p w14:paraId="4F37FB5A" w14:textId="6E4F7AA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ei krüpteeri pakkumuse dokumente.</w:t>
      </w:r>
    </w:p>
    <w:p w14:paraId="40DBFEE4" w14:textId="6EA631BE" w:rsidR="00BB43E7" w:rsidRPr="008B26AF" w:rsidRDefault="00BB43E7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Hankija ei vastuta võimalike viivituste, tõrgete või katkestuste eest, mida põhjustavad e-keskkonnas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kontrolli alt väljas olevad asjaolud nagu</w:t>
      </w:r>
      <w:r w:rsidR="0095472E" w:rsidRPr="008B26AF">
        <w:rPr>
          <w:rFonts w:ascii="Times New Roman" w:hAnsi="Times New Roman" w:cs="Times New Roman"/>
          <w:sz w:val="24"/>
          <w:szCs w:val="24"/>
        </w:rPr>
        <w:t xml:space="preserve"> vääramatu jõud</w:t>
      </w:r>
      <w:r w:rsidRPr="008B26AF">
        <w:rPr>
          <w:rFonts w:ascii="Times New Roman" w:hAnsi="Times New Roman" w:cs="Times New Roman"/>
          <w:sz w:val="24"/>
          <w:szCs w:val="24"/>
        </w:rPr>
        <w:t xml:space="preserve">, elektrikatkestused, häired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 või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telefoni või interneti ühenduses või muude elektrooniliste seadmete ja vahendite, sealhulgas tarkvara, töös. Hankija ei vastuta e-keskkonna kasutamisest või mittekasutamisest tekkinud kahjude või saamatajäänud tulu eest.</w:t>
      </w:r>
    </w:p>
    <w:p w14:paraId="4C9250A2" w14:textId="201C2B5A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peab olema jõus vähemalt 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 (</w:t>
      </w:r>
      <w:r w:rsidR="0095472E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üks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sada kakskümmend) kalendripäeva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esitamise tähtajast arvates.</w:t>
      </w:r>
    </w:p>
    <w:p w14:paraId="024ED50E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Pakkumuse struktuur</w:t>
      </w:r>
    </w:p>
    <w:p w14:paraId="25503428" w14:textId="3F0E7B8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Pakkumuses peavad sisalduma kõik andmed ja dokumendid kontrollimaks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0B2B11" w:rsidRPr="008B26AF">
        <w:rPr>
          <w:rFonts w:ascii="Times New Roman" w:hAnsi="Times New Roman" w:cs="Times New Roman"/>
          <w:sz w:val="24"/>
          <w:szCs w:val="24"/>
        </w:rPr>
        <w:t xml:space="preserve">akkuja kõrvaldamise aluste puudumist ja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0B2B11" w:rsidRPr="008B26AF">
        <w:rPr>
          <w:rFonts w:ascii="Times New Roman" w:hAnsi="Times New Roman" w:cs="Times New Roman"/>
          <w:sz w:val="24"/>
          <w:szCs w:val="24"/>
        </w:rPr>
        <w:t>akkuja kvalifitseerimistingimustele vasta</w:t>
      </w:r>
      <w:r w:rsidR="001056F5">
        <w:rPr>
          <w:rFonts w:ascii="Times New Roman" w:hAnsi="Times New Roman" w:cs="Times New Roman"/>
          <w:sz w:val="24"/>
          <w:szCs w:val="24"/>
        </w:rPr>
        <w:t>vu</w:t>
      </w:r>
      <w:r w:rsidR="000B2B11" w:rsidRPr="008B26AF">
        <w:rPr>
          <w:rFonts w:ascii="Times New Roman" w:hAnsi="Times New Roman" w:cs="Times New Roman"/>
          <w:sz w:val="24"/>
          <w:szCs w:val="24"/>
        </w:rPr>
        <w:t>st</w:t>
      </w:r>
      <w:r w:rsidR="001056F5">
        <w:rPr>
          <w:rFonts w:ascii="Times New Roman" w:hAnsi="Times New Roman" w:cs="Times New Roman"/>
          <w:sz w:val="24"/>
          <w:szCs w:val="24"/>
        </w:rPr>
        <w:t xml:space="preserve"> ning </w:t>
      </w:r>
      <w:r w:rsidR="001056F5">
        <w:rPr>
          <w:rFonts w:ascii="Times New Roman" w:hAnsi="Times New Roman" w:cs="Times New Roman"/>
          <w:color w:val="000000"/>
          <w:sz w:val="24"/>
          <w:szCs w:val="24"/>
        </w:rPr>
        <w:t>pakkumuse vastavust hanke alusdokumentidele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102052" w14:textId="29A698A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Kui Hankija ei ole sätestanud teisiti, siis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akkujal ei ole lubatud Hankija poolt ette antud</w:t>
      </w:r>
      <w:r w:rsidR="0088628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vorme muuta ega lahtreid tühjaks jätta või vormil nõutud andmeid esitamata jätta.</w:t>
      </w:r>
    </w:p>
    <w:p w14:paraId="27B4A98E" w14:textId="7345917C" w:rsidR="001370D9" w:rsidRPr="008B26AF" w:rsidRDefault="004E2B1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Kõrvaldamise, k</w:t>
      </w:r>
      <w:r w:rsidR="001370D9"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valifitseerimis- ja vastavustingimused </w:t>
      </w:r>
    </w:p>
    <w:p w14:paraId="58D9762A" w14:textId="31090AE7" w:rsidR="004E2B1F" w:rsidRPr="008B26AF" w:rsidRDefault="004E2B1F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kõrvaldamise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>, kvalifitseerimise ja vastavus</w:t>
      </w:r>
      <w:r w:rsidR="002F3AC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tingimused on 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e-riigihangete registri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pool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genereeritud hankepassis</w:t>
      </w:r>
      <w:r w:rsidR="00563DFD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7A4309" w14:textId="77777777" w:rsidR="004E2B1F" w:rsidRPr="008B26AF" w:rsidRDefault="004E2B1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avamine</w:t>
      </w:r>
    </w:p>
    <w:p w14:paraId="30473C9B" w14:textId="56465776" w:rsidR="004E2B1F" w:rsidRPr="008B26AF" w:rsidRDefault="004E2B1F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Pakkumused avatakse e-riigihangete keskkonnas </w:t>
      </w:r>
      <w:r w:rsidR="00960483" w:rsidRPr="008B26AF">
        <w:rPr>
          <w:rFonts w:ascii="Times New Roman" w:hAnsi="Times New Roman" w:cs="Times New Roman"/>
          <w:sz w:val="24"/>
          <w:szCs w:val="24"/>
        </w:rPr>
        <w:t>hanke avamise tähtpäeval.</w:t>
      </w:r>
    </w:p>
    <w:p w14:paraId="14C4AA77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lastRenderedPageBreak/>
        <w:t>Pakkumuste vastavuse kontrollimine</w:t>
      </w:r>
    </w:p>
    <w:p w14:paraId="57CC429D" w14:textId="773C177C" w:rsidR="00E547FD" w:rsidRPr="008B26AF" w:rsidRDefault="00E547FD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Hankijal on õigus</w:t>
      </w:r>
      <w:r w:rsidR="00695802" w:rsidRPr="008B26AF">
        <w:rPr>
          <w:rFonts w:ascii="Times New Roman" w:hAnsi="Times New Roman" w:cs="Times New Roman"/>
          <w:sz w:val="24"/>
          <w:szCs w:val="24"/>
        </w:rPr>
        <w:t xml:space="preserve"> hinnata pakkumusi </w:t>
      </w:r>
      <w:proofErr w:type="spellStart"/>
      <w:r w:rsidRPr="008B26AF">
        <w:rPr>
          <w:rFonts w:ascii="Times New Roman" w:hAnsi="Times New Roman" w:cs="Times New Roman"/>
          <w:sz w:val="24"/>
          <w:szCs w:val="24"/>
        </w:rPr>
        <w:t>pöördmenetlusena</w:t>
      </w:r>
      <w:proofErr w:type="spellEnd"/>
      <w:r w:rsidRPr="008B26AF">
        <w:rPr>
          <w:rFonts w:ascii="Times New Roman" w:hAnsi="Times New Roman" w:cs="Times New Roman"/>
          <w:sz w:val="24"/>
          <w:szCs w:val="24"/>
        </w:rPr>
        <w:t xml:space="preserve">, mis tähendab, et kõrvaldamise aluseid ja kvalifitseerimistingimustele vastamist kontrollib Hankija ainult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>akkuja suhtes, keda kavatsetakse edukaks tunnistada.</w:t>
      </w:r>
    </w:p>
    <w:p w14:paraId="5AC1533D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vastavaks tunnistamine või pakkumuste tagasi lükkamine</w:t>
      </w:r>
    </w:p>
    <w:p w14:paraId="45A3358F" w14:textId="575DECC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Hankija kontrollib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akkujate esitatud pakkumuste vastavust hanke alusdokumentides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esitatud tingimustele. Pakkumus tunnistatakse vastavaks, kui see on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kooskõlas kõikide hanke alusdokumentides esitatud tingimustega ja pakkumuses ei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esine sisulisi kõrvalekaldeid hanke alusdokumentides esitatud tingimustest.</w:t>
      </w:r>
    </w:p>
    <w:p w14:paraId="214A8618" w14:textId="4B8611CC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Pärast vastavate pakkumuste ja eduka pakkumuse väljaselgitamist ning asjakohase otsuse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tegemist sõlmib Hankija eduka pakkumuse esitanud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akkujaga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epingu.</w:t>
      </w:r>
      <w:r w:rsidR="0069580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95802" w:rsidRPr="008B26AF">
        <w:rPr>
          <w:rFonts w:ascii="Times New Roman" w:hAnsi="Times New Roman" w:cs="Times New Roman"/>
          <w:color w:val="000000"/>
          <w:sz w:val="24"/>
          <w:szCs w:val="24"/>
        </w:rPr>
        <w:t>eping on avaliku teenindamise leping ÜTS § 20 lg 1 mõistes</w:t>
      </w:r>
      <w:r w:rsidR="008009C6" w:rsidRPr="008B26AF">
        <w:rPr>
          <w:rFonts w:ascii="Times New Roman" w:hAnsi="Times New Roman" w:cs="Times New Roman"/>
          <w:color w:val="000000"/>
          <w:sz w:val="24"/>
          <w:szCs w:val="24"/>
        </w:rPr>
        <w:t>. ATL on haldusleping haldus</w:t>
      </w:r>
      <w:r w:rsidR="00E56DC0" w:rsidRPr="008B26AF">
        <w:rPr>
          <w:rFonts w:ascii="Times New Roman" w:hAnsi="Times New Roman" w:cs="Times New Roman"/>
          <w:color w:val="000000"/>
          <w:sz w:val="24"/>
          <w:szCs w:val="24"/>
        </w:rPr>
        <w:t>menetluse</w:t>
      </w:r>
      <w:r w:rsidR="008009C6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seaduse § </w:t>
      </w:r>
      <w:r w:rsidR="00E56DC0" w:rsidRPr="008B26AF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355E25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mõistes.</w:t>
      </w:r>
    </w:p>
    <w:p w14:paraId="430703B6" w14:textId="55D5EC6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lükkab pakkumuse tagasi, kui pakkumus ei vasta hanke alusdokumentides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ning selle lisades esitatud tingimustele. Hankija lükkab pakkumuse tagasi, kui pakkumuse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vastavustingimustes või nende vormides pole esitatud kõiki nõutud andmeid.</w:t>
      </w:r>
    </w:p>
    <w:p w14:paraId="35485E49" w14:textId="77777777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jätab endale õiguse lükata tagasi kõik pakkumused igal ajal enne hankelepingu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sõlmimist, kui:</w:t>
      </w:r>
    </w:p>
    <w:p w14:paraId="3455D4A3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ükski pakkumus ei ole tunnistatud vastavaks;</w:t>
      </w:r>
    </w:p>
    <w:p w14:paraId="5BCB4672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kõikide vastavaks tunnistatud pakkumuste maksumused ületavad hanke eeldatavat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maksumust või Hankija reaalseid rahalisi vahendeid, mistõttu hange ei ole Hankijale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sellise maksumusega vastuvõetav;</w:t>
      </w:r>
    </w:p>
    <w:p w14:paraId="205A61B7" w14:textId="7165A42F" w:rsidR="001370D9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langeb ära vajadus lepingu sõlmimise järele põhjusel, mis ei sõltu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ankijast, nt põhjusel,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mis tuleneb õigusaktide muutumisest, kõrgemalseisvate asutuste haldusaktidest või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toimingutest vms põhjustel;</w:t>
      </w:r>
    </w:p>
    <w:p w14:paraId="6D7ECE56" w14:textId="6358A08C" w:rsidR="001370D9" w:rsidRPr="009206BB" w:rsidRDefault="001370D9" w:rsidP="009206BB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6BB">
        <w:rPr>
          <w:rFonts w:ascii="Times New Roman" w:hAnsi="Times New Roman" w:cs="Times New Roman"/>
          <w:color w:val="000000"/>
          <w:sz w:val="24"/>
          <w:szCs w:val="24"/>
        </w:rPr>
        <w:t>ettenägematutel ja Hankijast mitteolenevatel põhjustel, kui riigihanke menetluse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toimumise ajal on Hankijale teatavaks saanud uued asjaolud, mis välistavad või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muudavad Hankijale ebaotstarbekaks hankemenetluse jätkamise ja hankelepingu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sõlmimise riigihanke alusdokumentides sätestatud tingimustel (sh muudatused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seadusandluses, teistes õigusaktides) või lepingu sõlmimine kokkulepitud tingimustel ei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vastaks muutunud asjaolude tõttu enam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ankija varasematele vajadustele või ootustele.</w:t>
      </w:r>
    </w:p>
    <w:p w14:paraId="18B1E911" w14:textId="5DFEE494" w:rsidR="00707C9E" w:rsidRPr="00707C9E" w:rsidRDefault="001370D9" w:rsidP="00707C9E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hindamine ja edukaks tunnistamine</w:t>
      </w:r>
    </w:p>
    <w:p w14:paraId="1247CE79" w14:textId="4A07D17F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Hankija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hindab ja võrdleb kõiki vastavaks tunnistatud pakkumusi ning tunnistab edukaks majanduslikult soodsaima pakkumuse hindamiskriteeriumi</w:t>
      </w:r>
      <w:r w:rsidR="00713B7D" w:rsidRPr="008B26A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alusel, st pakkumuse, mis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saab kõrgeima väärtuspunktide koguarvu.</w:t>
      </w:r>
    </w:p>
    <w:p w14:paraId="1B429205" w14:textId="0653FE1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5909363"/>
      <w:r w:rsidRPr="008B26AF">
        <w:rPr>
          <w:rFonts w:ascii="Times New Roman" w:hAnsi="Times New Roman" w:cs="Times New Roman"/>
          <w:color w:val="000000"/>
          <w:sz w:val="24"/>
          <w:szCs w:val="24"/>
        </w:rPr>
        <w:t>Hindamise kord</w:t>
      </w:r>
      <w:r w:rsidR="00707C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E89425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Eduka pakkumuse valiku aluseks on majanduslikult soodsaim pakkumus 100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väärtuspunkti skaalal arvestades järgmisi kriteeriume:</w:t>
      </w:r>
    </w:p>
    <w:p w14:paraId="78C45B34" w14:textId="216987DB" w:rsidR="00707C9E" w:rsidRPr="001930FB" w:rsidRDefault="00707C9E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Maksumuse kriteerium</w:t>
      </w:r>
      <w:r>
        <w:rPr>
          <w:rFonts w:ascii="Times New Roman" w:eastAsia="Times New Roman" w:hAnsi="Times New Roman"/>
          <w:sz w:val="24"/>
        </w:rPr>
        <w:t xml:space="preserve"> – Maksimaalse arvu punkte (</w:t>
      </w:r>
      <w:r w:rsidR="001930FB"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 xml:space="preserve">) saab kõige madalama hinnatava sõidukilomeetri maksumusega pakkumus (käibemaksuta), teised pakkumused saavad punkte proportsionaalselt vähem, kasutades väärtuspunktide arvestamise meetodit Merit </w:t>
      </w:r>
      <w:proofErr w:type="spellStart"/>
      <w:r>
        <w:rPr>
          <w:rFonts w:ascii="Times New Roman" w:eastAsia="Times New Roman" w:hAnsi="Times New Roman"/>
          <w:sz w:val="24"/>
        </w:rPr>
        <w:t>Point</w:t>
      </w:r>
      <w:proofErr w:type="spellEnd"/>
      <w:r>
        <w:rPr>
          <w:rFonts w:ascii="Times New Roman" w:eastAsia="Times New Roman" w:hAnsi="Times New Roman"/>
          <w:sz w:val="24"/>
        </w:rPr>
        <w:t xml:space="preserve"> System (Madalaima maksumusega pakkumus/ hinnatav pakkumus x </w:t>
      </w:r>
      <w:r w:rsidR="001930FB"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>).</w:t>
      </w:r>
    </w:p>
    <w:p w14:paraId="6AFEEB41" w14:textId="3DC145D3" w:rsidR="003C13BB" w:rsidRDefault="003C13BB" w:rsidP="00E77268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Metaangaasil sõitvate sõidukite kriteerium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Kui pakkuja on valmis hankelepingu täitmiseks (koheselt liiniveo algusest </w:t>
      </w:r>
      <w:r w:rsidRPr="003C13BB">
        <w:rPr>
          <w:rFonts w:ascii="Times New Roman" w:hAnsi="Times New Roman" w:cs="Times New Roman"/>
          <w:sz w:val="24"/>
          <w:szCs w:val="24"/>
        </w:rPr>
        <w:t>kogu lepingu perioodi jooksul) kasutama vähemalt 80% ulatuses metaangaasil (CNG; LNG) sõitvaid busse,</w:t>
      </w:r>
      <w:r w:rsidRPr="003C13BB">
        <w:t xml:space="preserve"> </w:t>
      </w:r>
      <w:r w:rsidRPr="003C13BB">
        <w:rPr>
          <w:rFonts w:ascii="Times New Roman" w:hAnsi="Times New Roman" w:cs="Times New Roman"/>
          <w:sz w:val="24"/>
          <w:szCs w:val="24"/>
        </w:rPr>
        <w:t xml:space="preserve">mis vastavad 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AD Lisa 1 Tehnili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e kirjeldus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isa 1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Nõuded bussidele</w:t>
      </w:r>
      <w:r w:rsidRPr="003C13BB">
        <w:rPr>
          <w:rFonts w:ascii="Times New Roman" w:hAnsi="Times New Roman" w:cs="Times New Roman"/>
          <w:sz w:val="24"/>
          <w:szCs w:val="24"/>
        </w:rPr>
        <w:t>, siis omistatakse pakkujale 15 punkti. Kõigi teiste lahenduste puhul saab pakkuja 0 punkti.</w:t>
      </w:r>
    </w:p>
    <w:p w14:paraId="1D7D8B50" w14:textId="77777777" w:rsidR="001930FB" w:rsidRPr="001930FB" w:rsidRDefault="001930FB" w:rsidP="001930FB">
      <w:pPr>
        <w:pStyle w:val="Loendilik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6D410" w14:textId="71957FBC" w:rsidR="00826AE6" w:rsidRPr="008B26AF" w:rsidRDefault="00707C9E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Alkoluku olemasolu kriteerium</w:t>
      </w:r>
      <w:r>
        <w:rPr>
          <w:rFonts w:ascii="Times New Roman" w:eastAsia="Times New Roman" w:hAnsi="Times New Roman"/>
          <w:sz w:val="24"/>
        </w:rPr>
        <w:t xml:space="preserve"> – Kui Pakkuja on valmis kõik pakkumuse täitmisel kasutatavad bussid varustama CENELEC standarditele EN 50436-1 ja EN 50436-2 vastavate </w:t>
      </w:r>
      <w:proofErr w:type="spellStart"/>
      <w:r>
        <w:rPr>
          <w:rFonts w:ascii="Times New Roman" w:eastAsia="Times New Roman" w:hAnsi="Times New Roman"/>
          <w:sz w:val="24"/>
        </w:rPr>
        <w:t>alkolukkudega</w:t>
      </w:r>
      <w:proofErr w:type="spellEnd"/>
      <w:r>
        <w:rPr>
          <w:rFonts w:ascii="Times New Roman" w:eastAsia="Times New Roman" w:hAnsi="Times New Roman"/>
          <w:sz w:val="24"/>
        </w:rPr>
        <w:t>, siis omistatakse Pakkujale 5 punkti. Kõigi teiste lahenduste puhul saab Pakkuja 0 punkti.</w:t>
      </w:r>
    </w:p>
    <w:p w14:paraId="69F791AF" w14:textId="6FDB6081" w:rsidR="00884E6F" w:rsidRPr="008B26AF" w:rsidRDefault="00884E6F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Nõutud tingimustele vastavate talverehvide kasutamine perioodil 01.12-01.03</w:t>
      </w:r>
      <w:r w:rsidR="003565B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Kui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on valmis kõikidel pakkumuse täitmisel kasutatavatel bussidel kasutama perioodil 01.12-01.03 (talviste teeolude korral soovituslikult ka pikemal perioodil)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ankija poolt esitatud tingimustele vastavaid talverehve, siis omistatakse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akkujale 5 punkti</w:t>
      </w:r>
      <w:r w:rsidR="007C68F7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8F7" w:rsidRPr="008B26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õigi teiste lahenduste puhul saab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0 punkti.</w:t>
      </w:r>
    </w:p>
    <w:p w14:paraId="5AE888F7" w14:textId="68826EE5" w:rsidR="00C30665" w:rsidRPr="008B26AF" w:rsidRDefault="00C30665" w:rsidP="00C30665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Kolmepunkti turvavööde kasutamine</w:t>
      </w:r>
      <w:r w:rsidRPr="008B2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Kui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akkuja </w:t>
      </w:r>
      <w:r w:rsidRPr="008B26AF">
        <w:rPr>
          <w:rFonts w:ascii="Times New Roman" w:hAnsi="Times New Roman" w:cs="Times New Roman"/>
          <w:sz w:val="24"/>
          <w:szCs w:val="24"/>
        </w:rPr>
        <w:t xml:space="preserve">on valmis kõik pakkumuse täitmisel </w:t>
      </w:r>
      <w:r w:rsidRPr="00C30665">
        <w:rPr>
          <w:rFonts w:ascii="Times New Roman" w:hAnsi="Times New Roman" w:cs="Times New Roman"/>
          <w:sz w:val="24"/>
          <w:szCs w:val="24"/>
        </w:rPr>
        <w:t>kasutatavad bussid, mis</w:t>
      </w:r>
      <w:bookmarkStart w:id="3" w:name="_Hlk77239442"/>
      <w:r w:rsidR="003C13BB">
        <w:rPr>
          <w:rFonts w:ascii="Times New Roman" w:hAnsi="Times New Roman" w:cs="Times New Roman"/>
          <w:sz w:val="24"/>
          <w:szCs w:val="24"/>
        </w:rPr>
        <w:t xml:space="preserve"> </w:t>
      </w:r>
      <w:r w:rsidR="003C13BB" w:rsidRPr="003C13BB">
        <w:rPr>
          <w:rFonts w:ascii="Times New Roman" w:hAnsi="Times New Roman" w:cs="Times New Roman"/>
          <w:sz w:val="24"/>
          <w:szCs w:val="24"/>
        </w:rPr>
        <w:t xml:space="preserve">vastavad 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AD Lisa 1 Tehnili</w:t>
      </w:r>
      <w:r w:rsidR="00E85E6D" w:rsidRPr="00E85E6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e kirjeldus</w:t>
      </w:r>
      <w:r w:rsidR="00E85E6D" w:rsidRPr="00E85E6D">
        <w:rPr>
          <w:rFonts w:ascii="Times New Roman" w:hAnsi="Times New Roman" w:cs="Times New Roman"/>
          <w:i/>
          <w:iCs/>
          <w:sz w:val="24"/>
          <w:szCs w:val="24"/>
        </w:rPr>
        <w:t>: L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isa 1 Nõuded bussidele</w:t>
      </w:r>
      <w:r w:rsidR="007462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  <w:r w:rsidRPr="00C30665">
        <w:rPr>
          <w:rFonts w:ascii="Times New Roman" w:hAnsi="Times New Roman" w:cs="Times New Roman"/>
          <w:sz w:val="24"/>
          <w:szCs w:val="24"/>
        </w:rPr>
        <w:t>varustama kolmepunkti turvavöödega, siis omistatakse Pakkujale 5 punkti. Kõigi teiste lahenduste puhul saab Pakkuja 0 punkti.</w:t>
      </w:r>
    </w:p>
    <w:p w14:paraId="599CC429" w14:textId="2E4C2981" w:rsidR="00034077" w:rsidRPr="008B26AF" w:rsidRDefault="00034077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color w:val="000000"/>
          <w:sz w:val="24"/>
          <w:szCs w:val="24"/>
        </w:rPr>
        <w:t>Bussijuhtide töötasu täistööajale taandatuna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bookmarkStart w:id="4" w:name="_Hlk2598861"/>
      <w:r w:rsidRPr="008B26AF">
        <w:rPr>
          <w:rFonts w:ascii="Times New Roman" w:hAnsi="Times New Roman" w:cs="Times New Roman"/>
          <w:sz w:val="24"/>
          <w:szCs w:val="24"/>
        </w:rPr>
        <w:t xml:space="preserve">Kui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 maksab bussijuhile minimaalselt </w:t>
      </w:r>
      <w:r w:rsidR="00595065">
        <w:rPr>
          <w:rFonts w:ascii="Times New Roman" w:hAnsi="Times New Roman" w:cs="Times New Roman"/>
          <w:sz w:val="24"/>
          <w:szCs w:val="24"/>
        </w:rPr>
        <w:t>1250</w:t>
      </w:r>
      <w:r w:rsidR="00595065" w:rsidRPr="008B26AF">
        <w:rPr>
          <w:rFonts w:ascii="Times New Roman" w:hAnsi="Times New Roman" w:cs="Times New Roman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sz w:val="24"/>
          <w:szCs w:val="24"/>
        </w:rPr>
        <w:t>eurot</w:t>
      </w:r>
      <w:r w:rsidR="00D66093">
        <w:rPr>
          <w:rFonts w:ascii="Times New Roman" w:hAnsi="Times New Roman" w:cs="Times New Roman"/>
          <w:sz w:val="24"/>
          <w:szCs w:val="24"/>
        </w:rPr>
        <w:t xml:space="preserve"> (bruto)</w:t>
      </w:r>
      <w:r w:rsidRPr="008B26AF">
        <w:rPr>
          <w:rFonts w:ascii="Times New Roman" w:hAnsi="Times New Roman" w:cs="Times New Roman"/>
          <w:sz w:val="24"/>
          <w:szCs w:val="24"/>
        </w:rPr>
        <w:t xml:space="preserve"> kuus täistööajale taandatuna, siis omistatakse pakkumusele 5 punkti</w:t>
      </w:r>
      <w:bookmarkEnd w:id="4"/>
      <w:r w:rsidRPr="008B26AF">
        <w:rPr>
          <w:rFonts w:ascii="Times New Roman" w:hAnsi="Times New Roman" w:cs="Times New Roman"/>
          <w:sz w:val="24"/>
          <w:szCs w:val="24"/>
        </w:rPr>
        <w:t xml:space="preserve">. </w:t>
      </w:r>
      <w:r w:rsidR="007C68F7" w:rsidRPr="008B26AF">
        <w:rPr>
          <w:rFonts w:ascii="Times New Roman" w:hAnsi="Times New Roman" w:cs="Times New Roman"/>
          <w:sz w:val="24"/>
          <w:szCs w:val="24"/>
        </w:rPr>
        <w:t xml:space="preserve">Kõigi teiste lahenduste puhul saab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7C68F7" w:rsidRPr="008B26AF">
        <w:rPr>
          <w:rFonts w:ascii="Times New Roman" w:hAnsi="Times New Roman" w:cs="Times New Roman"/>
          <w:sz w:val="24"/>
          <w:szCs w:val="24"/>
        </w:rPr>
        <w:t>akkuja 0 punkti</w:t>
      </w:r>
      <w:r w:rsidR="00B14D08" w:rsidRPr="008B26AF">
        <w:rPr>
          <w:rFonts w:ascii="Times New Roman" w:hAnsi="Times New Roman" w:cs="Times New Roman"/>
          <w:sz w:val="24"/>
          <w:szCs w:val="24"/>
        </w:rPr>
        <w:t>.</w:t>
      </w:r>
    </w:p>
    <w:p w14:paraId="6E1E2DB6" w14:textId="30466D76" w:rsidR="0049108F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Pakkumuste lõplik väärtuspunktide arv on käesolevate juhiste punktide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.1.1,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.1.2,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.1.3.,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2.1.4</w:t>
      </w:r>
      <w:r w:rsidR="00E85E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11.2.1.</w:t>
      </w:r>
      <w:r w:rsidR="00707C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5E6D">
        <w:rPr>
          <w:rFonts w:ascii="Times New Roman" w:hAnsi="Times New Roman" w:cs="Times New Roman"/>
          <w:color w:val="000000"/>
          <w:sz w:val="24"/>
          <w:szCs w:val="24"/>
        </w:rPr>
        <w:t xml:space="preserve"> ja 11.2.1.6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alusel saadud väärtuspunktide summa. Hankija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tunnistab edukaks suurima väärtuspunktide summaga saanud pakkumuse, s.o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majanduslikult kõige soodsama pakkumuse</w:t>
      </w:r>
      <w:bookmarkEnd w:id="2"/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CC90A3" w14:textId="4A337BA1" w:rsidR="001370D9" w:rsidRPr="008B26AF" w:rsidRDefault="001370D9" w:rsidP="00E731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55909726"/>
      <w:r w:rsidRPr="008B26AF">
        <w:rPr>
          <w:rFonts w:ascii="Times New Roman" w:hAnsi="Times New Roman" w:cs="Times New Roman"/>
          <w:color w:val="000000"/>
          <w:sz w:val="24"/>
          <w:szCs w:val="24"/>
        </w:rPr>
        <w:t>Hindamisel on aluseks alljärgnevad kriteeriumid:</w:t>
      </w:r>
      <w:bookmarkEnd w:id="5"/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539"/>
        <w:gridCol w:w="5840"/>
        <w:gridCol w:w="2693"/>
      </w:tblGrid>
      <w:tr w:rsidR="008F2F7D" w:rsidRPr="008B26AF" w14:paraId="44E3CA86" w14:textId="77777777" w:rsidTr="008B26AF">
        <w:tc>
          <w:tcPr>
            <w:tcW w:w="539" w:type="dxa"/>
          </w:tcPr>
          <w:p w14:paraId="40D577E2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864FB8E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Kriteeriumid</w:t>
            </w:r>
          </w:p>
        </w:tc>
        <w:tc>
          <w:tcPr>
            <w:tcW w:w="2693" w:type="dxa"/>
          </w:tcPr>
          <w:p w14:paraId="35136A5A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Maksimaalsed punktid</w:t>
            </w:r>
          </w:p>
        </w:tc>
      </w:tr>
      <w:tr w:rsidR="008F2F7D" w:rsidRPr="008B26AF" w14:paraId="609FA348" w14:textId="77777777" w:rsidTr="008B26AF">
        <w:tc>
          <w:tcPr>
            <w:tcW w:w="539" w:type="dxa"/>
          </w:tcPr>
          <w:p w14:paraId="71DD499F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14:paraId="515E5BE3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Maksumus</w:t>
            </w:r>
          </w:p>
        </w:tc>
        <w:tc>
          <w:tcPr>
            <w:tcW w:w="2693" w:type="dxa"/>
          </w:tcPr>
          <w:p w14:paraId="2BF7E883" w14:textId="321237B1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F2F7D"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väärtuspunkti</w:t>
            </w:r>
          </w:p>
        </w:tc>
      </w:tr>
      <w:tr w:rsidR="008F2F7D" w:rsidRPr="008B26AF" w14:paraId="688FC754" w14:textId="77777777" w:rsidTr="008B26AF">
        <w:tc>
          <w:tcPr>
            <w:tcW w:w="539" w:type="dxa"/>
          </w:tcPr>
          <w:p w14:paraId="170E6970" w14:textId="59CB27FB" w:rsidR="008F2F7D" w:rsidRPr="008B26AF" w:rsidRDefault="00707C9E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F2F7D"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1EEFB565" w14:textId="29E31D08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Metaangaasi kasutamine</w:t>
            </w:r>
          </w:p>
        </w:tc>
        <w:tc>
          <w:tcPr>
            <w:tcW w:w="2693" w:type="dxa"/>
          </w:tcPr>
          <w:p w14:paraId="6D0EB702" w14:textId="1C5C016D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2F7D"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6A329F11" w14:textId="77777777" w:rsidTr="008B26AF">
        <w:tc>
          <w:tcPr>
            <w:tcW w:w="539" w:type="dxa"/>
          </w:tcPr>
          <w:p w14:paraId="6EDEC83D" w14:textId="101A2931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73B4CD7C" w14:textId="33364B6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Alkoluk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ude olemasolu</w:t>
            </w:r>
          </w:p>
        </w:tc>
        <w:tc>
          <w:tcPr>
            <w:tcW w:w="2693" w:type="dxa"/>
          </w:tcPr>
          <w:p w14:paraId="7A3BFBAA" w14:textId="47A5C90E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2149A466" w14:textId="77777777" w:rsidTr="008B26AF">
        <w:tc>
          <w:tcPr>
            <w:tcW w:w="539" w:type="dxa"/>
          </w:tcPr>
          <w:p w14:paraId="34603678" w14:textId="759D134D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6A1666D8" w14:textId="44341B1E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Nõutud tingimustele vastavate talverehvide kasutamine perioodil 01.12-01.03</w:t>
            </w:r>
          </w:p>
        </w:tc>
        <w:tc>
          <w:tcPr>
            <w:tcW w:w="2693" w:type="dxa"/>
          </w:tcPr>
          <w:p w14:paraId="787450B8" w14:textId="2AF72B0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77C87D07" w14:textId="77777777" w:rsidTr="008B26AF">
        <w:tc>
          <w:tcPr>
            <w:tcW w:w="539" w:type="dxa"/>
          </w:tcPr>
          <w:p w14:paraId="330D4830" w14:textId="10DADF7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1F971A54" w14:textId="2E3A9EE7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Kolmepunkti turvavööde olemasolu</w:t>
            </w:r>
          </w:p>
        </w:tc>
        <w:tc>
          <w:tcPr>
            <w:tcW w:w="2693" w:type="dxa"/>
          </w:tcPr>
          <w:p w14:paraId="02D9C789" w14:textId="77969CFF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30E35D51" w14:textId="77777777" w:rsidTr="008B26AF">
        <w:tc>
          <w:tcPr>
            <w:tcW w:w="539" w:type="dxa"/>
          </w:tcPr>
          <w:p w14:paraId="0596523D" w14:textId="45FABD82" w:rsidR="00D50B4C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14:paraId="72DD9BF0" w14:textId="6811D8A6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Bussijuhtide töötasu täistööajale taandatuna</w:t>
            </w:r>
          </w:p>
        </w:tc>
        <w:tc>
          <w:tcPr>
            <w:tcW w:w="2693" w:type="dxa"/>
          </w:tcPr>
          <w:p w14:paraId="3AB445B7" w14:textId="0FB1357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8F2F7D" w:rsidRPr="008B26AF" w14:paraId="7796C32D" w14:textId="77777777" w:rsidTr="008B26AF">
        <w:tc>
          <w:tcPr>
            <w:tcW w:w="539" w:type="dxa"/>
          </w:tcPr>
          <w:p w14:paraId="61716077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58EADCA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KOKKU:</w:t>
            </w:r>
          </w:p>
        </w:tc>
        <w:tc>
          <w:tcPr>
            <w:tcW w:w="2693" w:type="dxa"/>
          </w:tcPr>
          <w:p w14:paraId="5DAE0230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väärtuspunkti</w:t>
            </w:r>
          </w:p>
        </w:tc>
      </w:tr>
    </w:tbl>
    <w:p w14:paraId="1EEC689A" w14:textId="0184E4EE" w:rsidR="00B56F9B" w:rsidRDefault="00B56F9B" w:rsidP="00B56F9B">
      <w:pPr>
        <w:pStyle w:val="Loendilik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A8A15" w14:textId="0B76F790" w:rsidR="001370D9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Kui mõnel pakkumusel on võrdne väärtuspunktide koguarv, saab pingereas parema koha ja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tunnistatakse edukaks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pakkumus, mille maksumuse krit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eeriumi väärtuspunktide arv on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kõrgem.</w:t>
      </w:r>
    </w:p>
    <w:p w14:paraId="0E2047D6" w14:textId="64D34130" w:rsidR="001370D9" w:rsidRDefault="001370D9" w:rsidP="00A958A5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8A5">
        <w:rPr>
          <w:rFonts w:ascii="Times New Roman" w:hAnsi="Times New Roman" w:cs="Times New Roman"/>
          <w:color w:val="000000"/>
          <w:sz w:val="24"/>
          <w:szCs w:val="24"/>
        </w:rPr>
        <w:t xml:space="preserve">Kui pakkumuse maksumused </w:t>
      </w:r>
      <w:r w:rsidR="00965AD1" w:rsidRPr="00A958A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A958A5">
        <w:rPr>
          <w:rFonts w:ascii="Times New Roman" w:hAnsi="Times New Roman" w:cs="Times New Roman"/>
          <w:color w:val="000000"/>
          <w:sz w:val="24"/>
          <w:szCs w:val="24"/>
        </w:rPr>
        <w:t>võrdsed, siis selgitatakse välja edukas pakkumus</w:t>
      </w:r>
      <w:r w:rsidR="00C22D5A" w:rsidRPr="00A95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DD6">
        <w:rPr>
          <w:rFonts w:ascii="Times New Roman" w:hAnsi="Times New Roman" w:cs="Times New Roman"/>
          <w:color w:val="000000"/>
          <w:sz w:val="24"/>
          <w:szCs w:val="24"/>
        </w:rPr>
        <w:t xml:space="preserve">liisuheitmise teel, mis toimub </w:t>
      </w:r>
      <w:r w:rsidR="00965AD1" w:rsidRPr="00830DD6">
        <w:rPr>
          <w:rFonts w:ascii="Times New Roman" w:hAnsi="Times New Roman" w:cs="Times New Roman"/>
          <w:color w:val="000000"/>
          <w:sz w:val="24"/>
          <w:szCs w:val="24"/>
        </w:rPr>
        <w:t xml:space="preserve">võrdse pakkumuse teinud </w:t>
      </w:r>
      <w:r w:rsidRPr="00830DD6">
        <w:rPr>
          <w:rFonts w:ascii="Times New Roman" w:hAnsi="Times New Roman" w:cs="Times New Roman"/>
          <w:color w:val="000000"/>
          <w:sz w:val="24"/>
          <w:szCs w:val="24"/>
        </w:rPr>
        <w:t>Pakkujate volitatud esindajate juuresolekul.</w:t>
      </w:r>
      <w:r w:rsidR="00C22D5A" w:rsidRPr="0083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DD6">
        <w:rPr>
          <w:rFonts w:ascii="Times New Roman" w:hAnsi="Times New Roman" w:cs="Times New Roman"/>
          <w:color w:val="000000"/>
          <w:sz w:val="24"/>
          <w:szCs w:val="24"/>
        </w:rPr>
        <w:t xml:space="preserve">Liisuheitmise koht ja ajakava teatatakse eelnevalt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30DD6">
        <w:rPr>
          <w:rFonts w:ascii="Times New Roman" w:hAnsi="Times New Roman" w:cs="Times New Roman"/>
          <w:color w:val="000000"/>
          <w:sz w:val="24"/>
          <w:szCs w:val="24"/>
        </w:rPr>
        <w:t>akkujatele.</w:t>
      </w:r>
    </w:p>
    <w:p w14:paraId="2F9D34DF" w14:textId="4C2AFA34" w:rsidR="00FC0D98" w:rsidRPr="00A958A5" w:rsidRDefault="00FC0D98" w:rsidP="00A958A5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8A5">
        <w:rPr>
          <w:rFonts w:ascii="Times New Roman" w:hAnsi="Times New Roman" w:cs="Times New Roman"/>
          <w:sz w:val="24"/>
          <w:szCs w:val="24"/>
        </w:rPr>
        <w:lastRenderedPageBreak/>
        <w:t xml:space="preserve">Hankija ei garanteeri Pakkujale tankimisvõimalusi. Busside kütuse hankimise kokkulepped tuleb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A958A5">
        <w:rPr>
          <w:rFonts w:ascii="Times New Roman" w:hAnsi="Times New Roman" w:cs="Times New Roman"/>
          <w:sz w:val="24"/>
          <w:szCs w:val="24"/>
        </w:rPr>
        <w:t>akkujatel teha kütuse tarnijatega.</w:t>
      </w:r>
    </w:p>
    <w:p w14:paraId="0776664E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Selgituste saamise kord</w:t>
      </w:r>
    </w:p>
    <w:p w14:paraId="643F7A6D" w14:textId="770ABA96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Riigihanke alusdokumentide sisu kohta saab selgitusi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ankijalt kirjaliku pöördumisega e</w:t>
      </w:r>
      <w:r w:rsidR="001E42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riigihangete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keskkonna teabevahetuse töölehel. Hankija vastab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poolt esitatud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küsimustele 3 (kolme) tööpäeva jooksul selgituse saamise taotlusest arvates, lisades vastused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e-riigihangete keskkonna teabevahetuse töölehele. Kui riigihanke alusdokumentidega seotud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selgitustaotluse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ankijale laekumise ja pakkumuste esitamise tähtpäeva vahele ei jää vähemalt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6 päeva, ei ole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 kohustatud selgitustaotlusele vastama (RHS § 46 lg 2).</w:t>
      </w:r>
    </w:p>
    <w:p w14:paraId="72489B5C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Pöördumin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>e tuleb vormistada eesti keeles.</w:t>
      </w:r>
    </w:p>
    <w:p w14:paraId="660CFBFB" w14:textId="04876C5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Kui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ei ole esitanud hankemenetluse käigus taotlusi täiendava informatsiooni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saamiseks, ei aktsepteeri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ankija ühtegi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hilisemat pretensiooni või nõuet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hankemenetluse või hankelepingu täitmise käigus, mille aluseks on asjaolu, et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hinnangul on hanke alusdokumendid vastuolulised või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ei ole saanud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selgitusi või lisainformatsiooni.</w:t>
      </w:r>
    </w:p>
    <w:p w14:paraId="7523FDE5" w14:textId="5A539247" w:rsidR="001370D9" w:rsidRPr="008B26AF" w:rsidRDefault="00434F66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auto"/>
          <w:sz w:val="24"/>
          <w:szCs w:val="24"/>
        </w:rPr>
        <w:t>epingu sõlmimine</w:t>
      </w:r>
    </w:p>
    <w:p w14:paraId="00D04051" w14:textId="7CED0F6C" w:rsidR="001370D9" w:rsidRPr="008B26AF" w:rsidRDefault="00434F66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epingu projekt on esitatud riigihanke alusdokumentide</w:t>
      </w:r>
      <w:r w:rsidR="005C793E" w:rsidRPr="008B2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AD Lisa 2 ATL lepingutingimused.</w:t>
      </w:r>
    </w:p>
    <w:p w14:paraId="50401C4C" w14:textId="391A9762" w:rsidR="001370D9" w:rsidRPr="008B26AF" w:rsidRDefault="00F94E9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eping sõlmitakse </w:t>
      </w:r>
      <w:r w:rsidR="0025398C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eesti keeles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edukaks tunnistatud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akkujaga pakkumuste jõusoleku tähtaja</w:t>
      </w:r>
      <w:r w:rsidR="00556CF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jooksul, kuid mitte varem kui </w:t>
      </w:r>
      <w:r w:rsidR="00E01B4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1B4D" w:rsidRPr="008B26AF">
        <w:rPr>
          <w:rFonts w:ascii="Times New Roman" w:hAnsi="Times New Roman" w:cs="Times New Roman"/>
          <w:color w:val="000000"/>
          <w:sz w:val="24"/>
          <w:szCs w:val="24"/>
        </w:rPr>
        <w:t>neliteist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päeva möödumisel eduka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</w:t>
      </w:r>
      <w:r w:rsidR="001370D9" w:rsidRPr="008B26AF">
        <w:rPr>
          <w:rFonts w:ascii="Times New Roman" w:hAnsi="Times New Roman" w:cs="Times New Roman"/>
          <w:color w:val="202020"/>
          <w:sz w:val="24"/>
          <w:szCs w:val="24"/>
        </w:rPr>
        <w:t>kõrvaldamata</w:t>
      </w:r>
      <w:r w:rsidR="00556CF1" w:rsidRPr="008B26A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202020"/>
          <w:sz w:val="24"/>
          <w:szCs w:val="24"/>
        </w:rPr>
        <w:t xml:space="preserve">jätmise ja kvalifitseerimise otsuse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kohta teate esitamist. Ooteaega ei pea kohaldama, kui</w:t>
      </w:r>
      <w:r w:rsidR="00556CF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pakkumuse esitas ainult üks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akkuja.</w:t>
      </w:r>
    </w:p>
    <w:p w14:paraId="4635E6D6" w14:textId="18E21F3C" w:rsidR="00B752D0" w:rsidRPr="008B26AF" w:rsidRDefault="00B752D0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iCs/>
          <w:sz w:val="24"/>
          <w:szCs w:val="24"/>
        </w:rPr>
        <w:t>Juhul, kui Lepingu sõlmimise viibimise tõttu, sealhulgas tulenevalt Lepingu sõlmimisele eelneva hankemenetlusega seonduvatest võimalikest vaidlustus- ja kohtumenetlustest, ei osutu võimalikuks Lepingu alusel liiniveo teostamise alustamine käesoleva</w:t>
      </w:r>
      <w:r w:rsidR="00C67770">
        <w:rPr>
          <w:rFonts w:ascii="Times New Roman" w:hAnsi="Times New Roman" w:cs="Times New Roman"/>
          <w:iCs/>
          <w:sz w:val="24"/>
          <w:szCs w:val="24"/>
        </w:rPr>
        <w:t xml:space="preserve"> dokumendi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punktis </w:t>
      </w:r>
      <w:r w:rsidR="00C67770">
        <w:rPr>
          <w:rFonts w:ascii="Times New Roman" w:hAnsi="Times New Roman" w:cs="Times New Roman"/>
          <w:iCs/>
          <w:sz w:val="24"/>
          <w:szCs w:val="24"/>
        </w:rPr>
        <w:t xml:space="preserve">2.1 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sätestatud eelduslikul alguskuupäeval, alustatakse liinivedu </w:t>
      </w:r>
      <w:r w:rsidR="00C67770">
        <w:rPr>
          <w:rFonts w:ascii="Times New Roman" w:hAnsi="Times New Roman" w:cs="Times New Roman"/>
          <w:iCs/>
          <w:sz w:val="24"/>
          <w:szCs w:val="24"/>
        </w:rPr>
        <w:t>H</w:t>
      </w:r>
      <w:r w:rsidRPr="008B26AF">
        <w:rPr>
          <w:rFonts w:ascii="Times New Roman" w:hAnsi="Times New Roman" w:cs="Times New Roman"/>
          <w:iCs/>
          <w:sz w:val="24"/>
          <w:szCs w:val="24"/>
        </w:rPr>
        <w:t>ankija poolt nimetatud kuupäeval pärast viivitust põhjustanud asjaolu ära</w:t>
      </w:r>
      <w:r w:rsidR="00E7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iCs/>
          <w:sz w:val="24"/>
          <w:szCs w:val="24"/>
        </w:rPr>
        <w:t>langemist, seejuures peab Tellija tagama, et Leping</w:t>
      </w:r>
      <w:r w:rsidR="00AA3CF3">
        <w:rPr>
          <w:rFonts w:ascii="Times New Roman" w:hAnsi="Times New Roman" w:cs="Times New Roman"/>
          <w:iCs/>
          <w:sz w:val="24"/>
          <w:szCs w:val="24"/>
        </w:rPr>
        <w:t>u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sõlmimise ja Leping</w:t>
      </w:r>
      <w:r w:rsidR="00AA3CF3">
        <w:rPr>
          <w:rFonts w:ascii="Times New Roman" w:hAnsi="Times New Roman" w:cs="Times New Roman"/>
          <w:iCs/>
          <w:sz w:val="24"/>
          <w:szCs w:val="24"/>
        </w:rPr>
        <w:t>u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alusel teenuse osutamise vahele jääks </w:t>
      </w:r>
      <w:r w:rsidR="00AA3CF3">
        <w:rPr>
          <w:rFonts w:ascii="Times New Roman" w:hAnsi="Times New Roman" w:cs="Times New Roman"/>
          <w:iCs/>
          <w:sz w:val="24"/>
          <w:szCs w:val="24"/>
        </w:rPr>
        <w:t>kuni</w:t>
      </w:r>
      <w:r w:rsidR="00AA3CF3" w:rsidRPr="008B2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2A28">
        <w:rPr>
          <w:rFonts w:ascii="Times New Roman" w:hAnsi="Times New Roman" w:cs="Times New Roman"/>
          <w:iCs/>
          <w:sz w:val="24"/>
          <w:szCs w:val="24"/>
        </w:rPr>
        <w:t>12</w:t>
      </w:r>
      <w:r w:rsidR="00AA3CF3" w:rsidRPr="008B2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iCs/>
          <w:sz w:val="24"/>
          <w:szCs w:val="24"/>
        </w:rPr>
        <w:t>kuud ettevalmistusaega, välja arvatud</w:t>
      </w:r>
      <w:r w:rsidR="00E85E6D">
        <w:rPr>
          <w:rFonts w:ascii="Times New Roman" w:hAnsi="Times New Roman" w:cs="Times New Roman"/>
          <w:iCs/>
          <w:sz w:val="24"/>
          <w:szCs w:val="24"/>
        </w:rPr>
        <w:t>,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kui Vedaja on valmis teenuse osutamist alustama lühema ettevalmistusajaga. </w:t>
      </w:r>
      <w:r w:rsidR="00DF394E">
        <w:rPr>
          <w:rFonts w:ascii="Times New Roman" w:hAnsi="Times New Roman" w:cs="Times New Roman"/>
          <w:iCs/>
          <w:sz w:val="24"/>
          <w:szCs w:val="24"/>
        </w:rPr>
        <w:t xml:space="preserve">Eeltoodud </w:t>
      </w:r>
      <w:r w:rsidRPr="008B26AF">
        <w:rPr>
          <w:rFonts w:ascii="Times New Roman" w:hAnsi="Times New Roman" w:cs="Times New Roman"/>
          <w:iCs/>
          <w:sz w:val="24"/>
          <w:szCs w:val="24"/>
        </w:rPr>
        <w:t>juh</w:t>
      </w:r>
      <w:r w:rsidR="00DF394E">
        <w:rPr>
          <w:rFonts w:ascii="Times New Roman" w:hAnsi="Times New Roman" w:cs="Times New Roman"/>
          <w:iCs/>
          <w:sz w:val="24"/>
          <w:szCs w:val="24"/>
        </w:rPr>
        <w:t>t</w:t>
      </w:r>
      <w:r w:rsidRPr="008B26AF">
        <w:rPr>
          <w:rFonts w:ascii="Times New Roman" w:hAnsi="Times New Roman" w:cs="Times New Roman"/>
          <w:iCs/>
          <w:sz w:val="24"/>
          <w:szCs w:val="24"/>
        </w:rPr>
        <w:t>u</w:t>
      </w:r>
      <w:r w:rsidR="00DF394E">
        <w:rPr>
          <w:rFonts w:ascii="Times New Roman" w:hAnsi="Times New Roman" w:cs="Times New Roman"/>
          <w:iCs/>
          <w:sz w:val="24"/>
          <w:szCs w:val="24"/>
        </w:rPr>
        <w:t>de</w:t>
      </w:r>
      <w:r w:rsidRPr="008B26AF">
        <w:rPr>
          <w:rFonts w:ascii="Times New Roman" w:hAnsi="Times New Roman" w:cs="Times New Roman"/>
          <w:iCs/>
          <w:sz w:val="24"/>
          <w:szCs w:val="24"/>
        </w:rPr>
        <w:t>l lükatakse edasi ka sätestatud liiniveo teostamise eelduslikku lõppkuupäeva perioodi võrra, mille osas liiniveo teostamise alustamine viibis.</w:t>
      </w:r>
    </w:p>
    <w:p w14:paraId="62C67B31" w14:textId="35D512B2" w:rsidR="00135FBD" w:rsidRDefault="00135FBD" w:rsidP="00135FBD">
      <w:pPr>
        <w:pStyle w:val="Loendilik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35FBD">
        <w:rPr>
          <w:rFonts w:ascii="Times New Roman" w:eastAsiaTheme="majorEastAsia" w:hAnsi="Times New Roman" w:cs="Times New Roman"/>
          <w:b/>
          <w:bCs/>
          <w:sz w:val="24"/>
          <w:szCs w:val="24"/>
        </w:rPr>
        <w:t>Lisad</w:t>
      </w:r>
    </w:p>
    <w:tbl>
      <w:tblPr>
        <w:tblStyle w:val="Kontuurtabel"/>
        <w:tblW w:w="0" w:type="auto"/>
        <w:tblInd w:w="-275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E85E6D" w14:paraId="6DF29BCC" w14:textId="77777777" w:rsidTr="00E85E6D">
        <w:tc>
          <w:tcPr>
            <w:tcW w:w="2250" w:type="dxa"/>
            <w:shd w:val="clear" w:color="auto" w:fill="BFBFBF" w:themeFill="background1" w:themeFillShade="BF"/>
          </w:tcPr>
          <w:p w14:paraId="537BDD09" w14:textId="77777777" w:rsidR="00E85E6D" w:rsidRPr="00E85E6D" w:rsidRDefault="00E85E6D" w:rsidP="002A5EA8">
            <w:pPr>
              <w:rPr>
                <w:b/>
                <w:bCs/>
              </w:rPr>
            </w:pPr>
            <w:r w:rsidRPr="00E85E6D">
              <w:rPr>
                <w:b/>
                <w:bCs/>
              </w:rPr>
              <w:t>AD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51DB87B9" w14:textId="77777777" w:rsidR="00E85E6D" w:rsidRPr="00E85E6D" w:rsidRDefault="00E85E6D" w:rsidP="002A5EA8">
            <w:pPr>
              <w:rPr>
                <w:b/>
                <w:bCs/>
              </w:rPr>
            </w:pPr>
            <w:r w:rsidRPr="00E85E6D">
              <w:rPr>
                <w:b/>
                <w:bCs/>
              </w:rPr>
              <w:t>Juhised pakkumuse koostamiseks</w:t>
            </w:r>
          </w:p>
        </w:tc>
      </w:tr>
      <w:tr w:rsidR="00E85E6D" w14:paraId="78564BC0" w14:textId="77777777" w:rsidTr="00E85E6D">
        <w:tc>
          <w:tcPr>
            <w:tcW w:w="2250" w:type="dxa"/>
          </w:tcPr>
          <w:p w14:paraId="0F4FC7EA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</w:t>
            </w:r>
          </w:p>
        </w:tc>
        <w:tc>
          <w:tcPr>
            <w:tcW w:w="6120" w:type="dxa"/>
          </w:tcPr>
          <w:p w14:paraId="02B51794" w14:textId="77777777" w:rsidR="00E85E6D" w:rsidRDefault="00E85E6D" w:rsidP="002A5EA8">
            <w:r>
              <w:t>Tehniline kirjeldus</w:t>
            </w:r>
          </w:p>
        </w:tc>
      </w:tr>
      <w:tr w:rsidR="00E85E6D" w14:paraId="4C2E2B15" w14:textId="77777777" w:rsidTr="00E85E6D">
        <w:tc>
          <w:tcPr>
            <w:tcW w:w="2250" w:type="dxa"/>
          </w:tcPr>
          <w:p w14:paraId="21A4ED6E" w14:textId="197DB624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TK* Lisa 1</w:t>
            </w:r>
          </w:p>
        </w:tc>
        <w:tc>
          <w:tcPr>
            <w:tcW w:w="6120" w:type="dxa"/>
          </w:tcPr>
          <w:p w14:paraId="4F3555EC" w14:textId="77777777" w:rsidR="00E85E6D" w:rsidRDefault="00E85E6D" w:rsidP="002A5EA8">
            <w:r>
              <w:t>Tehniline kirjeldus: Lisa 1 Nõuded bussidele</w:t>
            </w:r>
          </w:p>
        </w:tc>
      </w:tr>
      <w:tr w:rsidR="00E85E6D" w14:paraId="2A10F08E" w14:textId="77777777" w:rsidTr="00E85E6D">
        <w:tc>
          <w:tcPr>
            <w:tcW w:w="2250" w:type="dxa"/>
          </w:tcPr>
          <w:p w14:paraId="22379122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2</w:t>
            </w:r>
          </w:p>
        </w:tc>
        <w:tc>
          <w:tcPr>
            <w:tcW w:w="6120" w:type="dxa"/>
          </w:tcPr>
          <w:p w14:paraId="48C78A49" w14:textId="77777777" w:rsidR="00E85E6D" w:rsidRDefault="00E85E6D" w:rsidP="002A5EA8">
            <w:r>
              <w:t>Tehniline kirjeldus: Lisa 2 Sõiduplaanid</w:t>
            </w:r>
          </w:p>
        </w:tc>
      </w:tr>
      <w:tr w:rsidR="00E85E6D" w14:paraId="39AF44C1" w14:textId="77777777" w:rsidTr="00E85E6D">
        <w:tc>
          <w:tcPr>
            <w:tcW w:w="2250" w:type="dxa"/>
          </w:tcPr>
          <w:p w14:paraId="66E94FD9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3</w:t>
            </w:r>
          </w:p>
        </w:tc>
        <w:tc>
          <w:tcPr>
            <w:tcW w:w="6120" w:type="dxa"/>
          </w:tcPr>
          <w:p w14:paraId="1FA936FD" w14:textId="77777777" w:rsidR="00E85E6D" w:rsidRDefault="00E85E6D" w:rsidP="002A5EA8">
            <w:r>
              <w:t>Tehniline kirjeldus: Lisa 3 Maksimaalsed täituvused</w:t>
            </w:r>
          </w:p>
        </w:tc>
      </w:tr>
      <w:tr w:rsidR="00E85E6D" w14:paraId="0FDAE5E2" w14:textId="77777777" w:rsidTr="00E85E6D">
        <w:tc>
          <w:tcPr>
            <w:tcW w:w="2250" w:type="dxa"/>
          </w:tcPr>
          <w:p w14:paraId="13ED6679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</w:t>
            </w:r>
          </w:p>
        </w:tc>
        <w:tc>
          <w:tcPr>
            <w:tcW w:w="6120" w:type="dxa"/>
          </w:tcPr>
          <w:p w14:paraId="1580F8F1" w14:textId="52EE687B" w:rsidR="00E85E6D" w:rsidRDefault="00E85E6D" w:rsidP="002A5EA8">
            <w:r>
              <w:t>ATL** põhitekst</w:t>
            </w:r>
          </w:p>
        </w:tc>
      </w:tr>
      <w:tr w:rsidR="00E85E6D" w14:paraId="05C11839" w14:textId="77777777" w:rsidTr="00E85E6D">
        <w:tc>
          <w:tcPr>
            <w:tcW w:w="2250" w:type="dxa"/>
          </w:tcPr>
          <w:p w14:paraId="5BB1C8A5" w14:textId="765B86C8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1</w:t>
            </w:r>
          </w:p>
        </w:tc>
        <w:tc>
          <w:tcPr>
            <w:tcW w:w="6120" w:type="dxa"/>
          </w:tcPr>
          <w:p w14:paraId="4E6B4EF6" w14:textId="77777777" w:rsidR="00E85E6D" w:rsidRDefault="00E85E6D" w:rsidP="002A5EA8">
            <w:r>
              <w:t>ATL Lisa 1: Perioodi liinikilomeetri maksumus ja arveldamise kord</w:t>
            </w:r>
          </w:p>
        </w:tc>
      </w:tr>
      <w:tr w:rsidR="00E85E6D" w14:paraId="08C4F372" w14:textId="77777777" w:rsidTr="00E85E6D">
        <w:tc>
          <w:tcPr>
            <w:tcW w:w="2250" w:type="dxa"/>
          </w:tcPr>
          <w:p w14:paraId="5BCB08EA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2</w:t>
            </w:r>
          </w:p>
        </w:tc>
        <w:tc>
          <w:tcPr>
            <w:tcW w:w="6120" w:type="dxa"/>
          </w:tcPr>
          <w:p w14:paraId="1721DA6B" w14:textId="77777777" w:rsidR="00E85E6D" w:rsidRDefault="00E85E6D" w:rsidP="002A5EA8">
            <w:r>
              <w:t>ATL Lisa 2: Vedaja aruande ja taotluste vormid</w:t>
            </w:r>
          </w:p>
        </w:tc>
      </w:tr>
      <w:tr w:rsidR="00E85E6D" w14:paraId="5BDBB920" w14:textId="77777777" w:rsidTr="00E85E6D">
        <w:tc>
          <w:tcPr>
            <w:tcW w:w="2250" w:type="dxa"/>
          </w:tcPr>
          <w:p w14:paraId="06BC1537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3</w:t>
            </w:r>
          </w:p>
        </w:tc>
        <w:tc>
          <w:tcPr>
            <w:tcW w:w="6120" w:type="dxa"/>
          </w:tcPr>
          <w:p w14:paraId="78868651" w14:textId="77777777" w:rsidR="00E85E6D" w:rsidRDefault="00E85E6D" w:rsidP="002A5EA8">
            <w:r>
              <w:t>ATL Lisa 3: Liinitöö näitajad liinide kaupa</w:t>
            </w:r>
          </w:p>
        </w:tc>
      </w:tr>
      <w:tr w:rsidR="00E85E6D" w14:paraId="7A76A970" w14:textId="77777777" w:rsidTr="00E85E6D">
        <w:tc>
          <w:tcPr>
            <w:tcW w:w="2250" w:type="dxa"/>
          </w:tcPr>
          <w:p w14:paraId="1759E974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4</w:t>
            </w:r>
          </w:p>
        </w:tc>
        <w:tc>
          <w:tcPr>
            <w:tcW w:w="6120" w:type="dxa"/>
          </w:tcPr>
          <w:p w14:paraId="6F5DBF09" w14:textId="77777777" w:rsidR="00E85E6D" w:rsidRDefault="00E85E6D" w:rsidP="002A5EA8">
            <w:r>
              <w:t>ATL Lisa 4: Ebaregulaarsete veootsade aruanne</w:t>
            </w:r>
          </w:p>
        </w:tc>
      </w:tr>
      <w:tr w:rsidR="00E85E6D" w14:paraId="2A0A2839" w14:textId="77777777" w:rsidTr="00E85E6D">
        <w:tc>
          <w:tcPr>
            <w:tcW w:w="2250" w:type="dxa"/>
          </w:tcPr>
          <w:p w14:paraId="354F208E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5</w:t>
            </w:r>
          </w:p>
        </w:tc>
        <w:tc>
          <w:tcPr>
            <w:tcW w:w="6120" w:type="dxa"/>
          </w:tcPr>
          <w:p w14:paraId="37A0AC99" w14:textId="77777777" w:rsidR="00E85E6D" w:rsidRDefault="00E85E6D" w:rsidP="002A5EA8">
            <w:r>
              <w:t>ATL Lisa 5: Nõudeliinide kasutatavuse aruanne</w:t>
            </w:r>
          </w:p>
        </w:tc>
      </w:tr>
      <w:tr w:rsidR="00E85E6D" w14:paraId="21DB331C" w14:textId="77777777" w:rsidTr="00E85E6D">
        <w:tc>
          <w:tcPr>
            <w:tcW w:w="2250" w:type="dxa"/>
          </w:tcPr>
          <w:p w14:paraId="62B5E6DA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7</w:t>
            </w:r>
          </w:p>
        </w:tc>
        <w:tc>
          <w:tcPr>
            <w:tcW w:w="6120" w:type="dxa"/>
          </w:tcPr>
          <w:p w14:paraId="7766125B" w14:textId="77777777" w:rsidR="00E85E6D" w:rsidRDefault="00E85E6D" w:rsidP="002A5EA8">
            <w:r>
              <w:t>ATL Lisa 7: Teenuse tüüptingimused</w:t>
            </w:r>
          </w:p>
        </w:tc>
      </w:tr>
      <w:tr w:rsidR="00E85E6D" w14:paraId="1C914F9E" w14:textId="77777777" w:rsidTr="00E85E6D">
        <w:tc>
          <w:tcPr>
            <w:tcW w:w="2250" w:type="dxa"/>
          </w:tcPr>
          <w:p w14:paraId="71446AFF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 Lisa 2 ATL Lisa 8</w:t>
            </w:r>
          </w:p>
        </w:tc>
        <w:tc>
          <w:tcPr>
            <w:tcW w:w="6120" w:type="dxa"/>
          </w:tcPr>
          <w:p w14:paraId="68C9B0D2" w14:textId="77777777" w:rsidR="00E85E6D" w:rsidRDefault="00E85E6D" w:rsidP="002A5EA8">
            <w:r>
              <w:t>ATL Lisa 8: Kasutatavate busside loend</w:t>
            </w:r>
          </w:p>
        </w:tc>
      </w:tr>
    </w:tbl>
    <w:p w14:paraId="302AF261" w14:textId="050926CC" w:rsidR="00E85E6D" w:rsidRP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E85E6D">
        <w:rPr>
          <w:rFonts w:ascii="Times New Roman" w:eastAsiaTheme="majorEastAsia" w:hAnsi="Times New Roman" w:cs="Times New Roman"/>
          <w:sz w:val="24"/>
          <w:szCs w:val="24"/>
        </w:rPr>
        <w:t>*TK – tehniline kirjeldus</w:t>
      </w:r>
    </w:p>
    <w:p w14:paraId="4B22099F" w14:textId="39633355" w:rsid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E85E6D">
        <w:rPr>
          <w:rFonts w:ascii="Times New Roman" w:eastAsiaTheme="majorEastAsia" w:hAnsi="Times New Roman" w:cs="Times New Roman"/>
          <w:sz w:val="24"/>
          <w:szCs w:val="24"/>
        </w:rPr>
        <w:t>**ATL – avaliku teenindamise leping</w:t>
      </w:r>
    </w:p>
    <w:p w14:paraId="2DB51FAB" w14:textId="188CAA28" w:rsid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67687B7F" w14:textId="77777777" w:rsidR="00E85E6D" w:rsidRP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2B8FCE21" w14:textId="4DDF282F" w:rsidR="001370D9" w:rsidRDefault="00F67F07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Pakkumuse vormid</w:t>
      </w:r>
    </w:p>
    <w:tbl>
      <w:tblPr>
        <w:tblStyle w:val="Kontuurtabel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  <w:gridCol w:w="6300"/>
      </w:tblGrid>
      <w:tr w:rsidR="00E85E6D" w14:paraId="0EBFF5A3" w14:textId="77777777" w:rsidTr="002A5EA8">
        <w:tc>
          <w:tcPr>
            <w:tcW w:w="2070" w:type="dxa"/>
          </w:tcPr>
          <w:p w14:paraId="33FCB85B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1</w:t>
            </w:r>
          </w:p>
        </w:tc>
        <w:tc>
          <w:tcPr>
            <w:tcW w:w="6300" w:type="dxa"/>
          </w:tcPr>
          <w:p w14:paraId="01395008" w14:textId="77777777" w:rsidR="00E85E6D" w:rsidRDefault="00E85E6D" w:rsidP="002A5EA8">
            <w:r>
              <w:t>Pakkumuse maksumuse arvestus</w:t>
            </w:r>
          </w:p>
        </w:tc>
      </w:tr>
      <w:tr w:rsidR="00E85E6D" w14:paraId="23EDB5C0" w14:textId="77777777" w:rsidTr="002A5EA8">
        <w:tc>
          <w:tcPr>
            <w:tcW w:w="2070" w:type="dxa"/>
          </w:tcPr>
          <w:p w14:paraId="753F2091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2</w:t>
            </w:r>
          </w:p>
        </w:tc>
        <w:tc>
          <w:tcPr>
            <w:tcW w:w="6300" w:type="dxa"/>
          </w:tcPr>
          <w:p w14:paraId="11D1426B" w14:textId="251B6F59" w:rsidR="00E85E6D" w:rsidRDefault="00E85E6D" w:rsidP="002A5EA8">
            <w:r>
              <w:t>Bussijuhtide tööaja</w:t>
            </w:r>
            <w:r w:rsidR="008D3F4C">
              <w:t xml:space="preserve"> ja</w:t>
            </w:r>
            <w:r>
              <w:t xml:space="preserve"> palga arvestus</w:t>
            </w:r>
          </w:p>
        </w:tc>
      </w:tr>
      <w:tr w:rsidR="00E85E6D" w14:paraId="1D3FD1CB" w14:textId="77777777" w:rsidTr="002A5EA8">
        <w:tc>
          <w:tcPr>
            <w:tcW w:w="2070" w:type="dxa"/>
          </w:tcPr>
          <w:p w14:paraId="71624709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3</w:t>
            </w:r>
          </w:p>
        </w:tc>
        <w:tc>
          <w:tcPr>
            <w:tcW w:w="6300" w:type="dxa"/>
          </w:tcPr>
          <w:p w14:paraId="624C1EA0" w14:textId="77777777" w:rsidR="00E85E6D" w:rsidRDefault="00E85E6D" w:rsidP="002A5EA8">
            <w:r>
              <w:t>Riigihanke teostamiseks pakkuja poolt kasutatavate busside loetelu</w:t>
            </w:r>
          </w:p>
        </w:tc>
      </w:tr>
    </w:tbl>
    <w:p w14:paraId="0BEA1882" w14:textId="77777777" w:rsidR="00A16BC6" w:rsidRPr="00962DEC" w:rsidRDefault="00A16BC6" w:rsidP="00962DEC"/>
    <w:sectPr w:rsidR="00A16BC6" w:rsidRPr="00962DEC" w:rsidSect="00A659D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9FDA" w14:textId="77777777" w:rsidR="00D01C2F" w:rsidRDefault="00D01C2F" w:rsidP="00B45F09">
      <w:pPr>
        <w:spacing w:after="0" w:line="240" w:lineRule="auto"/>
      </w:pPr>
      <w:r>
        <w:separator/>
      </w:r>
    </w:p>
  </w:endnote>
  <w:endnote w:type="continuationSeparator" w:id="0">
    <w:p w14:paraId="48CBA3B2" w14:textId="77777777" w:rsidR="00D01C2F" w:rsidRDefault="00D01C2F" w:rsidP="00B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407228"/>
      <w:docPartObj>
        <w:docPartGallery w:val="Page Numbers (Bottom of Page)"/>
        <w:docPartUnique/>
      </w:docPartObj>
    </w:sdtPr>
    <w:sdtEndPr/>
    <w:sdtContent>
      <w:p w14:paraId="0E0E22A6" w14:textId="614909AA" w:rsidR="00E748D2" w:rsidRDefault="00E748D2">
        <w:pPr>
          <w:pStyle w:val="Jalus"/>
          <w:jc w:val="right"/>
        </w:pPr>
        <w:r w:rsidRPr="00E748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748D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748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6FB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748D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C9412E4" w14:textId="77777777" w:rsidR="00BD6B0F" w:rsidRDefault="00BD6B0F">
    <w:pPr>
      <w:pStyle w:val="Jalus"/>
    </w:pPr>
  </w:p>
  <w:p w14:paraId="285E1376" w14:textId="77777777" w:rsidR="003D5FC7" w:rsidRDefault="003D5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A104" w14:textId="77777777" w:rsidR="00D01C2F" w:rsidRDefault="00D01C2F" w:rsidP="00B45F09">
      <w:pPr>
        <w:spacing w:after="0" w:line="240" w:lineRule="auto"/>
      </w:pPr>
      <w:r>
        <w:separator/>
      </w:r>
    </w:p>
  </w:footnote>
  <w:footnote w:type="continuationSeparator" w:id="0">
    <w:p w14:paraId="7094C3A1" w14:textId="77777777" w:rsidR="00D01C2F" w:rsidRDefault="00D01C2F" w:rsidP="00B4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A09" w14:textId="03063381" w:rsidR="00025F90" w:rsidRDefault="00025F90">
    <w:pPr>
      <w:pStyle w:val="Pis"/>
    </w:pPr>
    <w:r w:rsidRPr="00025F90">
      <w:t xml:space="preserve">RH  </w:t>
    </w:r>
    <w:r w:rsidR="00235936">
      <w:t>234027</w:t>
    </w:r>
    <w:r w:rsidR="00D427CA" w:rsidRPr="00D427CA">
      <w:t xml:space="preserve"> </w:t>
    </w:r>
    <w:r w:rsidRPr="00025F90">
      <w:t>„</w:t>
    </w:r>
    <w:r w:rsidR="00235936">
      <w:t>Avalik bussiliinivedu Tartu maakonnas</w:t>
    </w:r>
    <w:r w:rsidRPr="00025F90">
      <w:t>“</w:t>
    </w:r>
  </w:p>
  <w:p w14:paraId="29F71BDA" w14:textId="77777777" w:rsidR="003D5FC7" w:rsidRDefault="003D5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88F"/>
    <w:multiLevelType w:val="hybridMultilevel"/>
    <w:tmpl w:val="C9BCDF4A"/>
    <w:lvl w:ilvl="0" w:tplc="64D01F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9" w:hanging="360"/>
      </w:pPr>
    </w:lvl>
    <w:lvl w:ilvl="2" w:tplc="0425001B" w:tentative="1">
      <w:start w:val="1"/>
      <w:numFmt w:val="lowerRoman"/>
      <w:lvlText w:val="%3."/>
      <w:lvlJc w:val="right"/>
      <w:pPr>
        <w:ind w:left="1789" w:hanging="180"/>
      </w:pPr>
    </w:lvl>
    <w:lvl w:ilvl="3" w:tplc="0425000F" w:tentative="1">
      <w:start w:val="1"/>
      <w:numFmt w:val="decimal"/>
      <w:lvlText w:val="%4."/>
      <w:lvlJc w:val="left"/>
      <w:pPr>
        <w:ind w:left="2509" w:hanging="360"/>
      </w:pPr>
    </w:lvl>
    <w:lvl w:ilvl="4" w:tplc="04250019" w:tentative="1">
      <w:start w:val="1"/>
      <w:numFmt w:val="lowerLetter"/>
      <w:lvlText w:val="%5."/>
      <w:lvlJc w:val="left"/>
      <w:pPr>
        <w:ind w:left="3229" w:hanging="360"/>
      </w:pPr>
    </w:lvl>
    <w:lvl w:ilvl="5" w:tplc="0425001B" w:tentative="1">
      <w:start w:val="1"/>
      <w:numFmt w:val="lowerRoman"/>
      <w:lvlText w:val="%6."/>
      <w:lvlJc w:val="right"/>
      <w:pPr>
        <w:ind w:left="3949" w:hanging="180"/>
      </w:pPr>
    </w:lvl>
    <w:lvl w:ilvl="6" w:tplc="0425000F" w:tentative="1">
      <w:start w:val="1"/>
      <w:numFmt w:val="decimal"/>
      <w:lvlText w:val="%7."/>
      <w:lvlJc w:val="left"/>
      <w:pPr>
        <w:ind w:left="4669" w:hanging="360"/>
      </w:pPr>
    </w:lvl>
    <w:lvl w:ilvl="7" w:tplc="04250019" w:tentative="1">
      <w:start w:val="1"/>
      <w:numFmt w:val="lowerLetter"/>
      <w:lvlText w:val="%8."/>
      <w:lvlJc w:val="left"/>
      <w:pPr>
        <w:ind w:left="5389" w:hanging="360"/>
      </w:pPr>
    </w:lvl>
    <w:lvl w:ilvl="8" w:tplc="042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0361F7C"/>
    <w:multiLevelType w:val="hybridMultilevel"/>
    <w:tmpl w:val="F8768D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F0D"/>
    <w:multiLevelType w:val="hybridMultilevel"/>
    <w:tmpl w:val="BFA49306"/>
    <w:lvl w:ilvl="0" w:tplc="F7CC0114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EC1A6A"/>
    <w:multiLevelType w:val="multilevel"/>
    <w:tmpl w:val="6E3676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627E33"/>
    <w:multiLevelType w:val="multilevel"/>
    <w:tmpl w:val="6FFA2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84166A"/>
    <w:multiLevelType w:val="hybridMultilevel"/>
    <w:tmpl w:val="13BEAF5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6377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A3250C"/>
    <w:multiLevelType w:val="multilevel"/>
    <w:tmpl w:val="E156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EB679B"/>
    <w:multiLevelType w:val="multilevel"/>
    <w:tmpl w:val="195E89D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D9"/>
    <w:rsid w:val="0000469B"/>
    <w:rsid w:val="00014F8A"/>
    <w:rsid w:val="000157C4"/>
    <w:rsid w:val="00015B6F"/>
    <w:rsid w:val="00025F90"/>
    <w:rsid w:val="00030AC5"/>
    <w:rsid w:val="00034077"/>
    <w:rsid w:val="00034552"/>
    <w:rsid w:val="00037185"/>
    <w:rsid w:val="00040BE0"/>
    <w:rsid w:val="00042EB7"/>
    <w:rsid w:val="00045316"/>
    <w:rsid w:val="000544D4"/>
    <w:rsid w:val="00055699"/>
    <w:rsid w:val="00064EF0"/>
    <w:rsid w:val="00071A5B"/>
    <w:rsid w:val="0007483A"/>
    <w:rsid w:val="00077A4B"/>
    <w:rsid w:val="000874DD"/>
    <w:rsid w:val="000A5B04"/>
    <w:rsid w:val="000B2A1D"/>
    <w:rsid w:val="000B2B11"/>
    <w:rsid w:val="000B4844"/>
    <w:rsid w:val="000C273F"/>
    <w:rsid w:val="000C2EE6"/>
    <w:rsid w:val="000C65C9"/>
    <w:rsid w:val="000D49C4"/>
    <w:rsid w:val="000D52EC"/>
    <w:rsid w:val="000F6ABA"/>
    <w:rsid w:val="0010017D"/>
    <w:rsid w:val="001056F5"/>
    <w:rsid w:val="00113305"/>
    <w:rsid w:val="00114C37"/>
    <w:rsid w:val="0012016D"/>
    <w:rsid w:val="0012779C"/>
    <w:rsid w:val="00127FB7"/>
    <w:rsid w:val="0013025C"/>
    <w:rsid w:val="00135FBD"/>
    <w:rsid w:val="001370D9"/>
    <w:rsid w:val="00141B3C"/>
    <w:rsid w:val="00143C5B"/>
    <w:rsid w:val="00145061"/>
    <w:rsid w:val="00146A44"/>
    <w:rsid w:val="00152AF5"/>
    <w:rsid w:val="00153EBE"/>
    <w:rsid w:val="00154B06"/>
    <w:rsid w:val="00157B96"/>
    <w:rsid w:val="00163FC9"/>
    <w:rsid w:val="00167D6C"/>
    <w:rsid w:val="0017147F"/>
    <w:rsid w:val="00174300"/>
    <w:rsid w:val="00174352"/>
    <w:rsid w:val="00175582"/>
    <w:rsid w:val="001777CF"/>
    <w:rsid w:val="001873C8"/>
    <w:rsid w:val="00187AE4"/>
    <w:rsid w:val="00190E9F"/>
    <w:rsid w:val="001930FB"/>
    <w:rsid w:val="001A360E"/>
    <w:rsid w:val="001A6E5A"/>
    <w:rsid w:val="001A7307"/>
    <w:rsid w:val="001B5930"/>
    <w:rsid w:val="001C0CAF"/>
    <w:rsid w:val="001C4892"/>
    <w:rsid w:val="001C4C42"/>
    <w:rsid w:val="001C4FE8"/>
    <w:rsid w:val="001D0A13"/>
    <w:rsid w:val="001D1117"/>
    <w:rsid w:val="001E4208"/>
    <w:rsid w:val="001F509E"/>
    <w:rsid w:val="001F662F"/>
    <w:rsid w:val="001F6CD7"/>
    <w:rsid w:val="00204B37"/>
    <w:rsid w:val="00204F80"/>
    <w:rsid w:val="0021086B"/>
    <w:rsid w:val="00212ECB"/>
    <w:rsid w:val="0022002D"/>
    <w:rsid w:val="00222A0B"/>
    <w:rsid w:val="00224EDB"/>
    <w:rsid w:val="00230746"/>
    <w:rsid w:val="0023353D"/>
    <w:rsid w:val="00235147"/>
    <w:rsid w:val="00235936"/>
    <w:rsid w:val="002365B5"/>
    <w:rsid w:val="00237292"/>
    <w:rsid w:val="00241438"/>
    <w:rsid w:val="0024182D"/>
    <w:rsid w:val="002420B2"/>
    <w:rsid w:val="0024238F"/>
    <w:rsid w:val="002474C2"/>
    <w:rsid w:val="00252496"/>
    <w:rsid w:val="0025398C"/>
    <w:rsid w:val="00254C2F"/>
    <w:rsid w:val="00262E58"/>
    <w:rsid w:val="002677EF"/>
    <w:rsid w:val="00270132"/>
    <w:rsid w:val="002722C0"/>
    <w:rsid w:val="00277732"/>
    <w:rsid w:val="0028456B"/>
    <w:rsid w:val="00290D02"/>
    <w:rsid w:val="002912DC"/>
    <w:rsid w:val="00293A73"/>
    <w:rsid w:val="002948AC"/>
    <w:rsid w:val="002A1AFD"/>
    <w:rsid w:val="002A2341"/>
    <w:rsid w:val="002B0A09"/>
    <w:rsid w:val="002B46AC"/>
    <w:rsid w:val="002B5BCD"/>
    <w:rsid w:val="002B5EF4"/>
    <w:rsid w:val="002B7793"/>
    <w:rsid w:val="002C0B5D"/>
    <w:rsid w:val="002C287E"/>
    <w:rsid w:val="002C3D30"/>
    <w:rsid w:val="002E0AF3"/>
    <w:rsid w:val="002E1DF0"/>
    <w:rsid w:val="002E3287"/>
    <w:rsid w:val="002E45C4"/>
    <w:rsid w:val="002E4D79"/>
    <w:rsid w:val="002E5C5B"/>
    <w:rsid w:val="002F3AC9"/>
    <w:rsid w:val="002F4F96"/>
    <w:rsid w:val="002F4FD4"/>
    <w:rsid w:val="00300CF3"/>
    <w:rsid w:val="00305044"/>
    <w:rsid w:val="003074C7"/>
    <w:rsid w:val="0031463B"/>
    <w:rsid w:val="0031624A"/>
    <w:rsid w:val="00322122"/>
    <w:rsid w:val="00322547"/>
    <w:rsid w:val="003247E0"/>
    <w:rsid w:val="003270DA"/>
    <w:rsid w:val="0032763E"/>
    <w:rsid w:val="0033280A"/>
    <w:rsid w:val="00335ACA"/>
    <w:rsid w:val="00351631"/>
    <w:rsid w:val="00352B6C"/>
    <w:rsid w:val="00353001"/>
    <w:rsid w:val="00353B6F"/>
    <w:rsid w:val="00355E25"/>
    <w:rsid w:val="003565B7"/>
    <w:rsid w:val="00357BF6"/>
    <w:rsid w:val="00363075"/>
    <w:rsid w:val="00363B53"/>
    <w:rsid w:val="00370005"/>
    <w:rsid w:val="003757FC"/>
    <w:rsid w:val="003765D5"/>
    <w:rsid w:val="00380B54"/>
    <w:rsid w:val="00381484"/>
    <w:rsid w:val="003861A3"/>
    <w:rsid w:val="003869F9"/>
    <w:rsid w:val="003877AD"/>
    <w:rsid w:val="003959D8"/>
    <w:rsid w:val="00396834"/>
    <w:rsid w:val="00397B43"/>
    <w:rsid w:val="003A73BD"/>
    <w:rsid w:val="003A7C3C"/>
    <w:rsid w:val="003B10D0"/>
    <w:rsid w:val="003B48FA"/>
    <w:rsid w:val="003B77C9"/>
    <w:rsid w:val="003C06E3"/>
    <w:rsid w:val="003C13BB"/>
    <w:rsid w:val="003C4C25"/>
    <w:rsid w:val="003C72C6"/>
    <w:rsid w:val="003D156B"/>
    <w:rsid w:val="003D5FC7"/>
    <w:rsid w:val="003E463C"/>
    <w:rsid w:val="003F0D7D"/>
    <w:rsid w:val="003F1A9E"/>
    <w:rsid w:val="003F30A9"/>
    <w:rsid w:val="00401A36"/>
    <w:rsid w:val="00402268"/>
    <w:rsid w:val="00406209"/>
    <w:rsid w:val="0041711A"/>
    <w:rsid w:val="00423F15"/>
    <w:rsid w:val="00424152"/>
    <w:rsid w:val="00434F66"/>
    <w:rsid w:val="00436516"/>
    <w:rsid w:val="00442368"/>
    <w:rsid w:val="00443C22"/>
    <w:rsid w:val="004442EC"/>
    <w:rsid w:val="00451F42"/>
    <w:rsid w:val="0045219D"/>
    <w:rsid w:val="00466E0C"/>
    <w:rsid w:val="0047250B"/>
    <w:rsid w:val="0049108F"/>
    <w:rsid w:val="004922F3"/>
    <w:rsid w:val="004931FB"/>
    <w:rsid w:val="004A0539"/>
    <w:rsid w:val="004A1E95"/>
    <w:rsid w:val="004A59F0"/>
    <w:rsid w:val="004A62E5"/>
    <w:rsid w:val="004B4615"/>
    <w:rsid w:val="004C7E8C"/>
    <w:rsid w:val="004D1556"/>
    <w:rsid w:val="004D2FBD"/>
    <w:rsid w:val="004E0ABD"/>
    <w:rsid w:val="004E235A"/>
    <w:rsid w:val="004E2B1F"/>
    <w:rsid w:val="004E354E"/>
    <w:rsid w:val="004F0220"/>
    <w:rsid w:val="004F77D2"/>
    <w:rsid w:val="00501AB5"/>
    <w:rsid w:val="00506297"/>
    <w:rsid w:val="00510DE5"/>
    <w:rsid w:val="0051238E"/>
    <w:rsid w:val="0052596C"/>
    <w:rsid w:val="005414E1"/>
    <w:rsid w:val="005423B7"/>
    <w:rsid w:val="00542BDD"/>
    <w:rsid w:val="00544363"/>
    <w:rsid w:val="00544881"/>
    <w:rsid w:val="00556CF1"/>
    <w:rsid w:val="00560EF0"/>
    <w:rsid w:val="005627F2"/>
    <w:rsid w:val="00563DFD"/>
    <w:rsid w:val="0057198B"/>
    <w:rsid w:val="00595065"/>
    <w:rsid w:val="005A6646"/>
    <w:rsid w:val="005C4871"/>
    <w:rsid w:val="005C4BC5"/>
    <w:rsid w:val="005C4E8F"/>
    <w:rsid w:val="005C793E"/>
    <w:rsid w:val="005D18A2"/>
    <w:rsid w:val="005D62DE"/>
    <w:rsid w:val="005D6349"/>
    <w:rsid w:val="005E2916"/>
    <w:rsid w:val="005E54FE"/>
    <w:rsid w:val="005F4156"/>
    <w:rsid w:val="005F7123"/>
    <w:rsid w:val="00601116"/>
    <w:rsid w:val="00601D7E"/>
    <w:rsid w:val="00601F27"/>
    <w:rsid w:val="00602EE8"/>
    <w:rsid w:val="00610A52"/>
    <w:rsid w:val="006130D6"/>
    <w:rsid w:val="00614D4E"/>
    <w:rsid w:val="00625164"/>
    <w:rsid w:val="00632F18"/>
    <w:rsid w:val="00633DD5"/>
    <w:rsid w:val="006449D9"/>
    <w:rsid w:val="00647C43"/>
    <w:rsid w:val="006522AE"/>
    <w:rsid w:val="0065281A"/>
    <w:rsid w:val="006551F6"/>
    <w:rsid w:val="006559FD"/>
    <w:rsid w:val="00657ABA"/>
    <w:rsid w:val="00660C51"/>
    <w:rsid w:val="006641A7"/>
    <w:rsid w:val="00664A98"/>
    <w:rsid w:val="00666184"/>
    <w:rsid w:val="0067419D"/>
    <w:rsid w:val="00677D1A"/>
    <w:rsid w:val="006851C5"/>
    <w:rsid w:val="0068667A"/>
    <w:rsid w:val="00693F76"/>
    <w:rsid w:val="00695802"/>
    <w:rsid w:val="006A0EB0"/>
    <w:rsid w:val="006A11CD"/>
    <w:rsid w:val="006C4B76"/>
    <w:rsid w:val="006C5BCE"/>
    <w:rsid w:val="006D1C93"/>
    <w:rsid w:val="006D547F"/>
    <w:rsid w:val="006D6B78"/>
    <w:rsid w:val="006E1D0A"/>
    <w:rsid w:val="006E2F34"/>
    <w:rsid w:val="006E7E25"/>
    <w:rsid w:val="006F198C"/>
    <w:rsid w:val="006F27A4"/>
    <w:rsid w:val="006F6239"/>
    <w:rsid w:val="006F7899"/>
    <w:rsid w:val="006F7C83"/>
    <w:rsid w:val="00700BCC"/>
    <w:rsid w:val="0070188E"/>
    <w:rsid w:val="00702712"/>
    <w:rsid w:val="007047A7"/>
    <w:rsid w:val="00707C9E"/>
    <w:rsid w:val="0071034F"/>
    <w:rsid w:val="0071348C"/>
    <w:rsid w:val="00713B7D"/>
    <w:rsid w:val="00713CC8"/>
    <w:rsid w:val="0071527C"/>
    <w:rsid w:val="00723D18"/>
    <w:rsid w:val="00725C21"/>
    <w:rsid w:val="00725F5E"/>
    <w:rsid w:val="00726744"/>
    <w:rsid w:val="00730FBC"/>
    <w:rsid w:val="00736993"/>
    <w:rsid w:val="007433ED"/>
    <w:rsid w:val="007462F8"/>
    <w:rsid w:val="00756E8F"/>
    <w:rsid w:val="007674C3"/>
    <w:rsid w:val="00771751"/>
    <w:rsid w:val="00774A71"/>
    <w:rsid w:val="00781C31"/>
    <w:rsid w:val="00783237"/>
    <w:rsid w:val="007833FE"/>
    <w:rsid w:val="00783439"/>
    <w:rsid w:val="007859F2"/>
    <w:rsid w:val="007861EC"/>
    <w:rsid w:val="00786549"/>
    <w:rsid w:val="00786F92"/>
    <w:rsid w:val="00787221"/>
    <w:rsid w:val="007921F6"/>
    <w:rsid w:val="00794C19"/>
    <w:rsid w:val="00797373"/>
    <w:rsid w:val="007A14A3"/>
    <w:rsid w:val="007A59F5"/>
    <w:rsid w:val="007A66D8"/>
    <w:rsid w:val="007A6FBB"/>
    <w:rsid w:val="007C5D09"/>
    <w:rsid w:val="007C68F7"/>
    <w:rsid w:val="007D5357"/>
    <w:rsid w:val="007D6EA7"/>
    <w:rsid w:val="007E69A8"/>
    <w:rsid w:val="007F4266"/>
    <w:rsid w:val="007F6358"/>
    <w:rsid w:val="008009C6"/>
    <w:rsid w:val="00801B34"/>
    <w:rsid w:val="00804656"/>
    <w:rsid w:val="0081337A"/>
    <w:rsid w:val="00815022"/>
    <w:rsid w:val="008158A0"/>
    <w:rsid w:val="00815DA7"/>
    <w:rsid w:val="008168BF"/>
    <w:rsid w:val="008210EC"/>
    <w:rsid w:val="00824533"/>
    <w:rsid w:val="00825F06"/>
    <w:rsid w:val="00826AE6"/>
    <w:rsid w:val="0082702D"/>
    <w:rsid w:val="00830DD6"/>
    <w:rsid w:val="00832CE6"/>
    <w:rsid w:val="0084250D"/>
    <w:rsid w:val="008523B7"/>
    <w:rsid w:val="00854746"/>
    <w:rsid w:val="0085547D"/>
    <w:rsid w:val="00862E50"/>
    <w:rsid w:val="00867404"/>
    <w:rsid w:val="00867CCF"/>
    <w:rsid w:val="00882B22"/>
    <w:rsid w:val="00884E6F"/>
    <w:rsid w:val="00885BDF"/>
    <w:rsid w:val="00886288"/>
    <w:rsid w:val="008928FD"/>
    <w:rsid w:val="00893255"/>
    <w:rsid w:val="00894EA2"/>
    <w:rsid w:val="008969EF"/>
    <w:rsid w:val="008A1CF6"/>
    <w:rsid w:val="008A2A4A"/>
    <w:rsid w:val="008A63B7"/>
    <w:rsid w:val="008A7A0F"/>
    <w:rsid w:val="008B0237"/>
    <w:rsid w:val="008B26AF"/>
    <w:rsid w:val="008C1B72"/>
    <w:rsid w:val="008C2262"/>
    <w:rsid w:val="008C2CE4"/>
    <w:rsid w:val="008D10B2"/>
    <w:rsid w:val="008D3F4C"/>
    <w:rsid w:val="008D47D0"/>
    <w:rsid w:val="008D6FF9"/>
    <w:rsid w:val="008E3C40"/>
    <w:rsid w:val="008E4000"/>
    <w:rsid w:val="008F1154"/>
    <w:rsid w:val="008F1405"/>
    <w:rsid w:val="008F2F7D"/>
    <w:rsid w:val="008F7A7E"/>
    <w:rsid w:val="008F7BB0"/>
    <w:rsid w:val="00905D4F"/>
    <w:rsid w:val="009125C4"/>
    <w:rsid w:val="00915F6F"/>
    <w:rsid w:val="0092068A"/>
    <w:rsid w:val="009206BB"/>
    <w:rsid w:val="009237D3"/>
    <w:rsid w:val="009265C3"/>
    <w:rsid w:val="00927C4E"/>
    <w:rsid w:val="0093659E"/>
    <w:rsid w:val="00943119"/>
    <w:rsid w:val="00952095"/>
    <w:rsid w:val="00953ED2"/>
    <w:rsid w:val="0095472E"/>
    <w:rsid w:val="00955B35"/>
    <w:rsid w:val="00956775"/>
    <w:rsid w:val="00960483"/>
    <w:rsid w:val="00962DEC"/>
    <w:rsid w:val="00965589"/>
    <w:rsid w:val="00965AD1"/>
    <w:rsid w:val="009660F0"/>
    <w:rsid w:val="0096793B"/>
    <w:rsid w:val="00973629"/>
    <w:rsid w:val="00973ECF"/>
    <w:rsid w:val="00975854"/>
    <w:rsid w:val="00976932"/>
    <w:rsid w:val="009857FE"/>
    <w:rsid w:val="00986C1E"/>
    <w:rsid w:val="009A1579"/>
    <w:rsid w:val="009B54D0"/>
    <w:rsid w:val="009C2BF3"/>
    <w:rsid w:val="009C71D9"/>
    <w:rsid w:val="009D4C0D"/>
    <w:rsid w:val="009E38F3"/>
    <w:rsid w:val="009E5746"/>
    <w:rsid w:val="00A0329B"/>
    <w:rsid w:val="00A07585"/>
    <w:rsid w:val="00A114A8"/>
    <w:rsid w:val="00A12D6C"/>
    <w:rsid w:val="00A16268"/>
    <w:rsid w:val="00A162E2"/>
    <w:rsid w:val="00A16BC6"/>
    <w:rsid w:val="00A25301"/>
    <w:rsid w:val="00A30C94"/>
    <w:rsid w:val="00A355B4"/>
    <w:rsid w:val="00A43A69"/>
    <w:rsid w:val="00A44C7F"/>
    <w:rsid w:val="00A566EA"/>
    <w:rsid w:val="00A60672"/>
    <w:rsid w:val="00A61B09"/>
    <w:rsid w:val="00A659D8"/>
    <w:rsid w:val="00A65EB0"/>
    <w:rsid w:val="00A8513A"/>
    <w:rsid w:val="00A87F6E"/>
    <w:rsid w:val="00A913E7"/>
    <w:rsid w:val="00A958A5"/>
    <w:rsid w:val="00A96FEB"/>
    <w:rsid w:val="00A97B72"/>
    <w:rsid w:val="00AA29B2"/>
    <w:rsid w:val="00AA3CF3"/>
    <w:rsid w:val="00AA5F70"/>
    <w:rsid w:val="00AB3368"/>
    <w:rsid w:val="00AB4EB4"/>
    <w:rsid w:val="00AB5745"/>
    <w:rsid w:val="00AB75BE"/>
    <w:rsid w:val="00AD7437"/>
    <w:rsid w:val="00AE15A6"/>
    <w:rsid w:val="00AE1D8D"/>
    <w:rsid w:val="00AE5E76"/>
    <w:rsid w:val="00AE63FD"/>
    <w:rsid w:val="00AE6F8A"/>
    <w:rsid w:val="00AF1392"/>
    <w:rsid w:val="00AF36FB"/>
    <w:rsid w:val="00B00436"/>
    <w:rsid w:val="00B0490F"/>
    <w:rsid w:val="00B04E8F"/>
    <w:rsid w:val="00B063E2"/>
    <w:rsid w:val="00B11127"/>
    <w:rsid w:val="00B14D08"/>
    <w:rsid w:val="00B215A8"/>
    <w:rsid w:val="00B234A0"/>
    <w:rsid w:val="00B25812"/>
    <w:rsid w:val="00B3165A"/>
    <w:rsid w:val="00B328BA"/>
    <w:rsid w:val="00B33629"/>
    <w:rsid w:val="00B33B72"/>
    <w:rsid w:val="00B3774F"/>
    <w:rsid w:val="00B45F09"/>
    <w:rsid w:val="00B46589"/>
    <w:rsid w:val="00B56F9B"/>
    <w:rsid w:val="00B577B7"/>
    <w:rsid w:val="00B6269B"/>
    <w:rsid w:val="00B64023"/>
    <w:rsid w:val="00B64388"/>
    <w:rsid w:val="00B6559F"/>
    <w:rsid w:val="00B65776"/>
    <w:rsid w:val="00B752D0"/>
    <w:rsid w:val="00B76AE8"/>
    <w:rsid w:val="00B81939"/>
    <w:rsid w:val="00B82511"/>
    <w:rsid w:val="00B8442E"/>
    <w:rsid w:val="00B86BC7"/>
    <w:rsid w:val="00BA04DA"/>
    <w:rsid w:val="00BA3488"/>
    <w:rsid w:val="00BA7FE4"/>
    <w:rsid w:val="00BB43E7"/>
    <w:rsid w:val="00BB618E"/>
    <w:rsid w:val="00BB73BB"/>
    <w:rsid w:val="00BC0239"/>
    <w:rsid w:val="00BC794F"/>
    <w:rsid w:val="00BD6B0F"/>
    <w:rsid w:val="00BE5096"/>
    <w:rsid w:val="00BE5914"/>
    <w:rsid w:val="00BF1BC9"/>
    <w:rsid w:val="00BF26B3"/>
    <w:rsid w:val="00BF51DD"/>
    <w:rsid w:val="00BF60CC"/>
    <w:rsid w:val="00C12055"/>
    <w:rsid w:val="00C147FA"/>
    <w:rsid w:val="00C21675"/>
    <w:rsid w:val="00C21DCB"/>
    <w:rsid w:val="00C22D5A"/>
    <w:rsid w:val="00C26E9C"/>
    <w:rsid w:val="00C27B2C"/>
    <w:rsid w:val="00C30665"/>
    <w:rsid w:val="00C30904"/>
    <w:rsid w:val="00C317B4"/>
    <w:rsid w:val="00C33320"/>
    <w:rsid w:val="00C3379C"/>
    <w:rsid w:val="00C5155C"/>
    <w:rsid w:val="00C520A7"/>
    <w:rsid w:val="00C544A5"/>
    <w:rsid w:val="00C556D9"/>
    <w:rsid w:val="00C56593"/>
    <w:rsid w:val="00C62F70"/>
    <w:rsid w:val="00C65092"/>
    <w:rsid w:val="00C66985"/>
    <w:rsid w:val="00C67770"/>
    <w:rsid w:val="00C72B8A"/>
    <w:rsid w:val="00C76A8C"/>
    <w:rsid w:val="00C80714"/>
    <w:rsid w:val="00C81072"/>
    <w:rsid w:val="00C82742"/>
    <w:rsid w:val="00C92A7D"/>
    <w:rsid w:val="00C931B4"/>
    <w:rsid w:val="00CA0B4D"/>
    <w:rsid w:val="00CB07F6"/>
    <w:rsid w:val="00CB2CB7"/>
    <w:rsid w:val="00CB3850"/>
    <w:rsid w:val="00CB3ECC"/>
    <w:rsid w:val="00CC6699"/>
    <w:rsid w:val="00CD6069"/>
    <w:rsid w:val="00CD7CC9"/>
    <w:rsid w:val="00CE4268"/>
    <w:rsid w:val="00CF0530"/>
    <w:rsid w:val="00CF7014"/>
    <w:rsid w:val="00D01C2F"/>
    <w:rsid w:val="00D05F71"/>
    <w:rsid w:val="00D0611A"/>
    <w:rsid w:val="00D0717A"/>
    <w:rsid w:val="00D104FD"/>
    <w:rsid w:val="00D113A9"/>
    <w:rsid w:val="00D16EDD"/>
    <w:rsid w:val="00D20020"/>
    <w:rsid w:val="00D2181D"/>
    <w:rsid w:val="00D22174"/>
    <w:rsid w:val="00D23766"/>
    <w:rsid w:val="00D258D7"/>
    <w:rsid w:val="00D3019C"/>
    <w:rsid w:val="00D31104"/>
    <w:rsid w:val="00D3683F"/>
    <w:rsid w:val="00D37B3C"/>
    <w:rsid w:val="00D41B1E"/>
    <w:rsid w:val="00D4201E"/>
    <w:rsid w:val="00D427A1"/>
    <w:rsid w:val="00D427CA"/>
    <w:rsid w:val="00D42F45"/>
    <w:rsid w:val="00D460BB"/>
    <w:rsid w:val="00D50B4C"/>
    <w:rsid w:val="00D61721"/>
    <w:rsid w:val="00D626EC"/>
    <w:rsid w:val="00D66093"/>
    <w:rsid w:val="00D7543B"/>
    <w:rsid w:val="00D815E3"/>
    <w:rsid w:val="00D858CC"/>
    <w:rsid w:val="00D87230"/>
    <w:rsid w:val="00D87932"/>
    <w:rsid w:val="00D87EA6"/>
    <w:rsid w:val="00D91806"/>
    <w:rsid w:val="00D91C45"/>
    <w:rsid w:val="00D93FC6"/>
    <w:rsid w:val="00D95461"/>
    <w:rsid w:val="00D9680D"/>
    <w:rsid w:val="00D971C7"/>
    <w:rsid w:val="00DA37C2"/>
    <w:rsid w:val="00DA3E7E"/>
    <w:rsid w:val="00DA5A59"/>
    <w:rsid w:val="00DA607B"/>
    <w:rsid w:val="00DA7877"/>
    <w:rsid w:val="00DB1FD5"/>
    <w:rsid w:val="00DB2F16"/>
    <w:rsid w:val="00DB6776"/>
    <w:rsid w:val="00DC18BD"/>
    <w:rsid w:val="00DC1BDA"/>
    <w:rsid w:val="00DD5988"/>
    <w:rsid w:val="00DD5C07"/>
    <w:rsid w:val="00DD5D73"/>
    <w:rsid w:val="00DD7101"/>
    <w:rsid w:val="00DE0D2E"/>
    <w:rsid w:val="00DE2A28"/>
    <w:rsid w:val="00DE4CB5"/>
    <w:rsid w:val="00DE595D"/>
    <w:rsid w:val="00DF0D09"/>
    <w:rsid w:val="00DF394E"/>
    <w:rsid w:val="00DF7E6A"/>
    <w:rsid w:val="00E00ACD"/>
    <w:rsid w:val="00E0143C"/>
    <w:rsid w:val="00E01B4D"/>
    <w:rsid w:val="00E047B4"/>
    <w:rsid w:val="00E15DCA"/>
    <w:rsid w:val="00E175D4"/>
    <w:rsid w:val="00E32D90"/>
    <w:rsid w:val="00E34F02"/>
    <w:rsid w:val="00E35B1A"/>
    <w:rsid w:val="00E37912"/>
    <w:rsid w:val="00E37F62"/>
    <w:rsid w:val="00E46FFA"/>
    <w:rsid w:val="00E5121F"/>
    <w:rsid w:val="00E52CA2"/>
    <w:rsid w:val="00E547FD"/>
    <w:rsid w:val="00E56DC0"/>
    <w:rsid w:val="00E60B0B"/>
    <w:rsid w:val="00E65E87"/>
    <w:rsid w:val="00E6730A"/>
    <w:rsid w:val="00E70DB2"/>
    <w:rsid w:val="00E73193"/>
    <w:rsid w:val="00E748D2"/>
    <w:rsid w:val="00E74D13"/>
    <w:rsid w:val="00E77268"/>
    <w:rsid w:val="00E808B1"/>
    <w:rsid w:val="00E80EBB"/>
    <w:rsid w:val="00E85E6D"/>
    <w:rsid w:val="00E92041"/>
    <w:rsid w:val="00E94656"/>
    <w:rsid w:val="00EA61A0"/>
    <w:rsid w:val="00EB2B69"/>
    <w:rsid w:val="00EB4A5C"/>
    <w:rsid w:val="00EC1E1D"/>
    <w:rsid w:val="00EC4A06"/>
    <w:rsid w:val="00ED1ABB"/>
    <w:rsid w:val="00EE1FDC"/>
    <w:rsid w:val="00EF59DD"/>
    <w:rsid w:val="00EF6F6E"/>
    <w:rsid w:val="00EF74CB"/>
    <w:rsid w:val="00F06C1F"/>
    <w:rsid w:val="00F14D5E"/>
    <w:rsid w:val="00F14F99"/>
    <w:rsid w:val="00F16101"/>
    <w:rsid w:val="00F269CF"/>
    <w:rsid w:val="00F3013D"/>
    <w:rsid w:val="00F3420A"/>
    <w:rsid w:val="00F34B46"/>
    <w:rsid w:val="00F3623E"/>
    <w:rsid w:val="00F44131"/>
    <w:rsid w:val="00F526D0"/>
    <w:rsid w:val="00F52751"/>
    <w:rsid w:val="00F6104B"/>
    <w:rsid w:val="00F61985"/>
    <w:rsid w:val="00F620A5"/>
    <w:rsid w:val="00F635ED"/>
    <w:rsid w:val="00F64F09"/>
    <w:rsid w:val="00F67F07"/>
    <w:rsid w:val="00F76298"/>
    <w:rsid w:val="00F81B68"/>
    <w:rsid w:val="00F85A47"/>
    <w:rsid w:val="00F925FA"/>
    <w:rsid w:val="00F94E99"/>
    <w:rsid w:val="00FA3E37"/>
    <w:rsid w:val="00FB131D"/>
    <w:rsid w:val="00FB74F5"/>
    <w:rsid w:val="00FC0D89"/>
    <w:rsid w:val="00FC0D98"/>
    <w:rsid w:val="00FD1453"/>
    <w:rsid w:val="00FD148E"/>
    <w:rsid w:val="00FD7530"/>
    <w:rsid w:val="00FE043E"/>
    <w:rsid w:val="00FE25BD"/>
    <w:rsid w:val="00FE4A5A"/>
    <w:rsid w:val="00FF1E2C"/>
    <w:rsid w:val="00FF30C0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8883"/>
  <w15:docId w15:val="{54F89443-7A2D-409E-A62E-3E87B18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56F9B"/>
  </w:style>
  <w:style w:type="paragraph" w:styleId="Pealkiri1">
    <w:name w:val="heading 1"/>
    <w:basedOn w:val="Normaallaad"/>
    <w:next w:val="Normaallaad"/>
    <w:link w:val="Pealkiri1Mrk"/>
    <w:uiPriority w:val="9"/>
    <w:qFormat/>
    <w:rsid w:val="00E1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C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14C37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E1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B4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5F09"/>
  </w:style>
  <w:style w:type="paragraph" w:styleId="Jalus">
    <w:name w:val="footer"/>
    <w:basedOn w:val="Normaallaad"/>
    <w:link w:val="JalusMrk"/>
    <w:uiPriority w:val="99"/>
    <w:unhideWhenUsed/>
    <w:rsid w:val="00B4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5F0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5F0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link w:val="LoendilikMrk"/>
    <w:uiPriority w:val="99"/>
    <w:qFormat/>
    <w:rsid w:val="00632F18"/>
    <w:pPr>
      <w:ind w:left="720"/>
      <w:contextualSpacing/>
    </w:pPr>
  </w:style>
  <w:style w:type="paragraph" w:styleId="Sisukorrapealkiri">
    <w:name w:val="TOC Heading"/>
    <w:basedOn w:val="Pealkiri1"/>
    <w:next w:val="Normaallaad"/>
    <w:uiPriority w:val="39"/>
    <w:unhideWhenUsed/>
    <w:qFormat/>
    <w:rsid w:val="0068667A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830DD6"/>
    <w:pPr>
      <w:tabs>
        <w:tab w:val="left" w:pos="440"/>
        <w:tab w:val="right" w:leader="dot" w:pos="9062"/>
      </w:tabs>
      <w:spacing w:before="120" w:after="120"/>
      <w:ind w:left="426" w:hanging="426"/>
    </w:pPr>
  </w:style>
  <w:style w:type="character" w:customStyle="1" w:styleId="Pealkiri2Mrk">
    <w:name w:val="Pealkiri 2 Märk"/>
    <w:basedOn w:val="Liguvaikefont"/>
    <w:link w:val="Pealkiri2"/>
    <w:uiPriority w:val="9"/>
    <w:rsid w:val="000C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rsid w:val="00830DD6"/>
    <w:pPr>
      <w:tabs>
        <w:tab w:val="right" w:leader="dot" w:pos="9060"/>
      </w:tabs>
      <w:spacing w:after="100"/>
      <w:ind w:left="220"/>
    </w:pPr>
  </w:style>
  <w:style w:type="character" w:styleId="Kommentaariviide">
    <w:name w:val="annotation reference"/>
    <w:basedOn w:val="Liguvaikefont"/>
    <w:uiPriority w:val="99"/>
    <w:semiHidden/>
    <w:unhideWhenUsed/>
    <w:rsid w:val="001B593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B593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B593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593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B5930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E574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E574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9E5746"/>
    <w:rPr>
      <w:vertAlign w:val="superscript"/>
    </w:rPr>
  </w:style>
  <w:style w:type="table" w:styleId="Kontuurtabel">
    <w:name w:val="Table Grid"/>
    <w:basedOn w:val="Normaaltabel"/>
    <w:uiPriority w:val="39"/>
    <w:rsid w:val="008F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ndilikMrk">
    <w:name w:val="Loendi lõik Märk"/>
    <w:link w:val="Loendilik"/>
    <w:uiPriority w:val="99"/>
    <w:locked/>
    <w:rsid w:val="008168BF"/>
  </w:style>
  <w:style w:type="character" w:customStyle="1" w:styleId="Lahendamatamainimine1">
    <w:name w:val="Lahendamata mainimine1"/>
    <w:basedOn w:val="Liguvaikefont"/>
    <w:uiPriority w:val="99"/>
    <w:semiHidden/>
    <w:unhideWhenUsed/>
    <w:rsid w:val="00AE5E76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830DD6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F6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tartumaa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seb.ee/web/ifirma.w?sesskey=SdbpfjklkkQbkmpkYdiajtpbkfIOMiQC&amp;act=STATEMENT1&amp;lang=EST&amp;frnam=X&amp;val_id=99&amp;acc_no=EE9610102202671032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kl.aunapuu@tartuma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DC6-5B54-4573-AD8D-1D4ADB2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2446</Words>
  <Characters>14191</Characters>
  <Application>Microsoft Office Word</Application>
  <DocSecurity>0</DocSecurity>
  <Lines>118</Lines>
  <Paragraphs>33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Maikl Aunapuu</cp:lastModifiedBy>
  <cp:revision>15</cp:revision>
  <cp:lastPrinted>2020-07-28T07:30:00Z</cp:lastPrinted>
  <dcterms:created xsi:type="dcterms:W3CDTF">2021-08-18T13:17:00Z</dcterms:created>
  <dcterms:modified xsi:type="dcterms:W3CDTF">2021-09-20T09:57:00Z</dcterms:modified>
</cp:coreProperties>
</file>